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BD" w:rsidRPr="00406A77" w:rsidRDefault="00D93335" w:rsidP="005A1C0F">
      <w:pPr>
        <w:pStyle w:val="NoSpacing"/>
        <w:rPr>
          <w:bCs/>
        </w:rPr>
      </w:pPr>
      <w:bookmarkStart w:id="0" w:name="_GoBack"/>
      <w:bookmarkEnd w:id="0"/>
      <w:r>
        <w:rPr>
          <w:bCs/>
        </w:rPr>
        <w:t xml:space="preserve">Evaluation of </w:t>
      </w:r>
      <w:r w:rsidR="009D08DF" w:rsidRPr="0087043F">
        <w:rPr>
          <w:bCs/>
          <w:i/>
        </w:rPr>
        <w:t>WaySafe</w:t>
      </w:r>
      <w:r w:rsidR="009D08DF" w:rsidRPr="00397C04">
        <w:rPr>
          <w:bCs/>
        </w:rPr>
        <w:t>:</w:t>
      </w:r>
      <w:r w:rsidR="00397C04" w:rsidRPr="00397C04">
        <w:rPr>
          <w:bCs/>
        </w:rPr>
        <w:t xml:space="preserve"> </w:t>
      </w:r>
      <w:r w:rsidR="00397C04">
        <w:rPr>
          <w:bCs/>
        </w:rPr>
        <w:t xml:space="preserve"> </w:t>
      </w:r>
      <w:r w:rsidR="00397C04" w:rsidRPr="00397C04">
        <w:rPr>
          <w:bCs/>
        </w:rPr>
        <w:t>A</w:t>
      </w:r>
      <w:r w:rsidR="004432BD" w:rsidRPr="00397C04">
        <w:rPr>
          <w:bCs/>
        </w:rPr>
        <w:t xml:space="preserve"> </w:t>
      </w:r>
      <w:r w:rsidR="004432BD" w:rsidRPr="00406A77">
        <w:rPr>
          <w:bCs/>
        </w:rPr>
        <w:t>Disease-risk Reduction Curriculum for Substance</w:t>
      </w:r>
      <w:r>
        <w:rPr>
          <w:bCs/>
        </w:rPr>
        <w:t>-</w:t>
      </w:r>
      <w:r w:rsidR="004432BD" w:rsidRPr="00406A77">
        <w:rPr>
          <w:bCs/>
        </w:rPr>
        <w:t>Abusing Offenders</w:t>
      </w:r>
    </w:p>
    <w:p w:rsidR="00672468" w:rsidRPr="00406A77" w:rsidRDefault="00672468" w:rsidP="005A1C0F">
      <w:pPr>
        <w:pStyle w:val="NoSpacing"/>
        <w:rPr>
          <w:bCs/>
        </w:rPr>
      </w:pPr>
    </w:p>
    <w:p w:rsidR="00672468" w:rsidRPr="00406A77" w:rsidRDefault="00672468" w:rsidP="005A1C0F">
      <w:pPr>
        <w:pStyle w:val="NoSpacing"/>
      </w:pPr>
      <w:r w:rsidRPr="00406A77">
        <w:rPr>
          <w:bCs/>
        </w:rPr>
        <w:t>W</w:t>
      </w:r>
      <w:r w:rsidR="00406A77">
        <w:rPr>
          <w:bCs/>
        </w:rPr>
        <w:t xml:space="preserve">ayne </w:t>
      </w:r>
      <w:r w:rsidRPr="00406A77">
        <w:rPr>
          <w:bCs/>
        </w:rPr>
        <w:t xml:space="preserve">E.K. Lehman, </w:t>
      </w:r>
      <w:r w:rsidR="00406A77">
        <w:rPr>
          <w:bCs/>
        </w:rPr>
        <w:t xml:space="preserve">Ph.D., </w:t>
      </w:r>
      <w:r w:rsidRPr="00406A77">
        <w:rPr>
          <w:bCs/>
        </w:rPr>
        <w:t>G</w:t>
      </w:r>
      <w:r w:rsidR="00406A77">
        <w:rPr>
          <w:bCs/>
        </w:rPr>
        <w:t xml:space="preserve">race </w:t>
      </w:r>
      <w:r w:rsidRPr="00406A77">
        <w:rPr>
          <w:bCs/>
        </w:rPr>
        <w:t>A. Rowan</w:t>
      </w:r>
      <w:r w:rsidR="00406A77">
        <w:rPr>
          <w:bCs/>
        </w:rPr>
        <w:t>, Ph.D.</w:t>
      </w:r>
      <w:r w:rsidR="00ED4E23">
        <w:rPr>
          <w:bCs/>
        </w:rPr>
        <w:t>,</w:t>
      </w:r>
      <w:r w:rsidR="00406A77">
        <w:rPr>
          <w:bCs/>
        </w:rPr>
        <w:t xml:space="preserve"> </w:t>
      </w:r>
      <w:r w:rsidRPr="00406A77">
        <w:rPr>
          <w:bCs/>
        </w:rPr>
        <w:t>J</w:t>
      </w:r>
      <w:r w:rsidR="00406A77">
        <w:rPr>
          <w:bCs/>
        </w:rPr>
        <w:t xml:space="preserve">ack </w:t>
      </w:r>
      <w:r w:rsidRPr="00406A77">
        <w:rPr>
          <w:bCs/>
        </w:rPr>
        <w:t>M. Greener</w:t>
      </w:r>
      <w:r w:rsidR="00406A77">
        <w:rPr>
          <w:bCs/>
        </w:rPr>
        <w:t>, Ph.D.</w:t>
      </w:r>
      <w:r w:rsidRPr="00406A77">
        <w:rPr>
          <w:bCs/>
        </w:rPr>
        <w:t>, G</w:t>
      </w:r>
      <w:r w:rsidR="00ED4E23">
        <w:rPr>
          <w:bCs/>
        </w:rPr>
        <w:t xml:space="preserve">eorge </w:t>
      </w:r>
      <w:r w:rsidRPr="00406A77">
        <w:rPr>
          <w:bCs/>
        </w:rPr>
        <w:t>W. Joe</w:t>
      </w:r>
      <w:r w:rsidR="00406A77">
        <w:rPr>
          <w:bCs/>
        </w:rPr>
        <w:t>, Ed.D.</w:t>
      </w:r>
      <w:r w:rsidRPr="00406A77">
        <w:rPr>
          <w:bCs/>
        </w:rPr>
        <w:t>, Y</w:t>
      </w:r>
      <w:r w:rsidR="00406A77">
        <w:rPr>
          <w:bCs/>
        </w:rPr>
        <w:t>ang</w:t>
      </w:r>
      <w:r w:rsidRPr="00406A77">
        <w:rPr>
          <w:bCs/>
        </w:rPr>
        <w:t xml:space="preserve"> Yang, </w:t>
      </w:r>
      <w:r w:rsidR="00406A77">
        <w:rPr>
          <w:bCs/>
        </w:rPr>
        <w:t xml:space="preserve">M.S., </w:t>
      </w:r>
      <w:r w:rsidRPr="00406A77">
        <w:rPr>
          <w:bCs/>
        </w:rPr>
        <w:t>&amp; K</w:t>
      </w:r>
      <w:r w:rsidR="00406A77">
        <w:rPr>
          <w:bCs/>
        </w:rPr>
        <w:t>evin Knight, Ph.D.</w:t>
      </w:r>
    </w:p>
    <w:p w:rsidR="004432BD" w:rsidRPr="00406A77" w:rsidRDefault="004432BD" w:rsidP="005A1C0F">
      <w:pPr>
        <w:pStyle w:val="NoSpacing"/>
      </w:pPr>
    </w:p>
    <w:p w:rsidR="004A014A" w:rsidRDefault="004A014A" w:rsidP="005A1C0F">
      <w:pPr>
        <w:pStyle w:val="NoSpacing"/>
      </w:pPr>
      <w:r>
        <w:t>Institute of Behavioral Research (all authors)</w:t>
      </w:r>
    </w:p>
    <w:p w:rsidR="00406A77" w:rsidRDefault="00EA687E" w:rsidP="005A1C0F">
      <w:pPr>
        <w:pStyle w:val="NoSpacing"/>
      </w:pPr>
      <w:r>
        <w:t>Texas Christian Un</w:t>
      </w:r>
      <w:r w:rsidR="004A014A">
        <w:t>iversity</w:t>
      </w:r>
    </w:p>
    <w:p w:rsidR="004A014A" w:rsidRDefault="004A014A" w:rsidP="005A1C0F">
      <w:pPr>
        <w:pStyle w:val="NoSpacing"/>
      </w:pPr>
      <w:r>
        <w:t>Fort Worth, TX 76129</w:t>
      </w:r>
    </w:p>
    <w:p w:rsidR="004A014A" w:rsidRDefault="004A014A" w:rsidP="005A1C0F">
      <w:pPr>
        <w:pStyle w:val="NoSpacing"/>
      </w:pPr>
      <w:r>
        <w:t>All work was conducted in the United States</w:t>
      </w:r>
    </w:p>
    <w:p w:rsidR="00EA687E" w:rsidRDefault="00EA687E" w:rsidP="005A1C0F">
      <w:pPr>
        <w:pStyle w:val="NoSpacing"/>
      </w:pPr>
    </w:p>
    <w:p w:rsidR="004A014A" w:rsidRDefault="004A014A" w:rsidP="005A1C0F">
      <w:pPr>
        <w:pStyle w:val="NoSpacing"/>
      </w:pPr>
    </w:p>
    <w:p w:rsidR="004A014A" w:rsidRDefault="004A014A" w:rsidP="005A1C0F">
      <w:pPr>
        <w:pStyle w:val="NoSpacing"/>
      </w:pPr>
    </w:p>
    <w:p w:rsidR="00EA687E" w:rsidRDefault="00EA687E" w:rsidP="005A1C0F">
      <w:pPr>
        <w:pStyle w:val="NoSpacing"/>
      </w:pPr>
      <w:r>
        <w:t>Corresponding author:</w:t>
      </w:r>
    </w:p>
    <w:p w:rsidR="00EA687E" w:rsidRDefault="00EA687E" w:rsidP="005A1C0F">
      <w:pPr>
        <w:pStyle w:val="NoSpacing"/>
      </w:pPr>
      <w:r>
        <w:t>Wayne E.K. Lehman, Ph.D.</w:t>
      </w:r>
    </w:p>
    <w:p w:rsidR="004A014A" w:rsidRDefault="004A014A" w:rsidP="005A1C0F">
      <w:pPr>
        <w:pStyle w:val="NoSpacing"/>
      </w:pPr>
      <w:r>
        <w:t>TCU Box 298740</w:t>
      </w:r>
    </w:p>
    <w:p w:rsidR="004A014A" w:rsidRDefault="004A014A" w:rsidP="005A1C0F">
      <w:pPr>
        <w:pStyle w:val="NoSpacing"/>
      </w:pPr>
      <w:r>
        <w:t>Institute of Behavioral Research</w:t>
      </w:r>
    </w:p>
    <w:p w:rsidR="004A014A" w:rsidRDefault="004A014A" w:rsidP="005A1C0F">
      <w:pPr>
        <w:pStyle w:val="NoSpacing"/>
      </w:pPr>
      <w:r>
        <w:t>Texas Christian University</w:t>
      </w:r>
    </w:p>
    <w:p w:rsidR="004A014A" w:rsidRDefault="004A014A" w:rsidP="005A1C0F">
      <w:pPr>
        <w:pStyle w:val="NoSpacing"/>
      </w:pPr>
      <w:r>
        <w:t>Fort Worth, TX 76129  U.S.A</w:t>
      </w:r>
    </w:p>
    <w:p w:rsidR="004A014A" w:rsidRDefault="004A014A" w:rsidP="005A1C0F">
      <w:pPr>
        <w:pStyle w:val="NoSpacing"/>
      </w:pPr>
      <w:r>
        <w:t>817-257-6085</w:t>
      </w:r>
    </w:p>
    <w:p w:rsidR="004A014A" w:rsidRDefault="004A014A" w:rsidP="005A1C0F">
      <w:pPr>
        <w:pStyle w:val="NoSpacing"/>
      </w:pPr>
      <w:r>
        <w:t>817-257-7290  [fax]</w:t>
      </w:r>
    </w:p>
    <w:p w:rsidR="004A014A" w:rsidRDefault="0061411E" w:rsidP="005A1C0F">
      <w:pPr>
        <w:pStyle w:val="NoSpacing"/>
      </w:pPr>
      <w:hyperlink r:id="rId8" w:history="1">
        <w:r w:rsidR="004A014A" w:rsidRPr="00582848">
          <w:rPr>
            <w:rStyle w:val="Hyperlink"/>
          </w:rPr>
          <w:t>w.lehman@tcu.edu</w:t>
        </w:r>
      </w:hyperlink>
    </w:p>
    <w:p w:rsidR="004A014A" w:rsidRDefault="004A014A" w:rsidP="005A1C0F">
      <w:pPr>
        <w:pStyle w:val="NoSpacing"/>
      </w:pPr>
    </w:p>
    <w:p w:rsidR="004A014A" w:rsidRDefault="004A014A" w:rsidP="005A1C0F">
      <w:pPr>
        <w:pStyle w:val="NoSpacing"/>
      </w:pPr>
    </w:p>
    <w:p w:rsidR="00EA687E" w:rsidRPr="00406A77" w:rsidRDefault="00EA687E" w:rsidP="005A1C0F">
      <w:pPr>
        <w:pStyle w:val="NoSpacing"/>
      </w:pPr>
    </w:p>
    <w:p w:rsidR="00406A77" w:rsidRPr="00406A77" w:rsidRDefault="00406A77">
      <w:r w:rsidRPr="00406A77">
        <w:br w:type="page"/>
      </w:r>
    </w:p>
    <w:p w:rsidR="00C501A9" w:rsidRPr="009373D6" w:rsidRDefault="009E32D2" w:rsidP="005A1C0F">
      <w:pPr>
        <w:pStyle w:val="NoSpacing"/>
        <w:rPr>
          <w:b/>
        </w:rPr>
      </w:pPr>
      <w:r w:rsidRPr="009373D6">
        <w:rPr>
          <w:b/>
        </w:rPr>
        <w:lastRenderedPageBreak/>
        <w:t>Abstract</w:t>
      </w:r>
    </w:p>
    <w:p w:rsidR="009E32D2" w:rsidRDefault="009E32D2" w:rsidP="005A1C0F">
      <w:pPr>
        <w:pStyle w:val="NoSpacing"/>
      </w:pPr>
    </w:p>
    <w:p w:rsidR="009E32D2" w:rsidRPr="009E32D2" w:rsidRDefault="00D93335" w:rsidP="008A471B">
      <w:pPr>
        <w:pStyle w:val="NoSpacing"/>
        <w:spacing w:line="480" w:lineRule="auto"/>
      </w:pPr>
      <w:r>
        <w:rPr>
          <w:bCs/>
        </w:rPr>
        <w:t>With a focus on reducing disease risk behavior in the community, a</w:t>
      </w:r>
      <w:r w:rsidR="009373D6" w:rsidRPr="009373D6">
        <w:rPr>
          <w:bCs/>
        </w:rPr>
        <w:t xml:space="preserve"> </w:t>
      </w:r>
      <w:r w:rsidR="00F2030B">
        <w:rPr>
          <w:bCs/>
        </w:rPr>
        <w:t>six</w:t>
      </w:r>
      <w:r w:rsidR="008A471B">
        <w:rPr>
          <w:bCs/>
        </w:rPr>
        <w:t xml:space="preserve">-session </w:t>
      </w:r>
      <w:r w:rsidR="009373D6" w:rsidRPr="009373D6">
        <w:rPr>
          <w:bCs/>
        </w:rPr>
        <w:t>curricu</w:t>
      </w:r>
      <w:r w:rsidR="009373D6">
        <w:rPr>
          <w:bCs/>
        </w:rPr>
        <w:t xml:space="preserve">lum, </w:t>
      </w:r>
      <w:r w:rsidR="009373D6" w:rsidRPr="009373D6">
        <w:rPr>
          <w:bCs/>
          <w:i/>
        </w:rPr>
        <w:t>WaySafe</w:t>
      </w:r>
      <w:r w:rsidR="009373D6">
        <w:rPr>
          <w:bCs/>
        </w:rPr>
        <w:t xml:space="preserve">, was developed to </w:t>
      </w:r>
      <w:r w:rsidR="009373D6" w:rsidRPr="009E32D2">
        <w:t xml:space="preserve">increase positive decision-making skills among </w:t>
      </w:r>
      <w:r>
        <w:t xml:space="preserve">soon-to-be-released inmates participating </w:t>
      </w:r>
      <w:r w:rsidR="00406A77">
        <w:t xml:space="preserve">in </w:t>
      </w:r>
      <w:r>
        <w:t>a</w:t>
      </w:r>
      <w:r w:rsidR="00F8738C">
        <w:t xml:space="preserve"> therapeutic community </w:t>
      </w:r>
      <w:r w:rsidR="00406A77">
        <w:t>substance abuse treatment</w:t>
      </w:r>
      <w:r w:rsidR="00F8738C">
        <w:t xml:space="preserve"> program</w:t>
      </w:r>
      <w:r w:rsidR="009373D6">
        <w:rPr>
          <w:bCs/>
        </w:rPr>
        <w:t xml:space="preserve">.  </w:t>
      </w:r>
      <w:r w:rsidR="009E32D2" w:rsidRPr="009E32D2">
        <w:t xml:space="preserve">The intervention </w:t>
      </w:r>
      <w:r w:rsidR="00CE6B76" w:rsidRPr="009E32D2">
        <w:t>use</w:t>
      </w:r>
      <w:r w:rsidR="00CE6B76" w:rsidRPr="00397C04">
        <w:t xml:space="preserve">d </w:t>
      </w:r>
      <w:r w:rsidR="009E32D2" w:rsidRPr="009E32D2">
        <w:t xml:space="preserve">TCU Mapping-Enhanced </w:t>
      </w:r>
      <w:r w:rsidR="00F8738C">
        <w:t>C</w:t>
      </w:r>
      <w:r w:rsidR="009E32D2" w:rsidRPr="009E32D2">
        <w:t>ounseling</w:t>
      </w:r>
      <w:r w:rsidR="00F8738C">
        <w:t xml:space="preserve"> as an approach </w:t>
      </w:r>
      <w:r w:rsidR="009E32D2" w:rsidRPr="009E32D2">
        <w:t>to focus on cognitive aspects of risky sexual and drug use behaviors</w:t>
      </w:r>
      <w:r w:rsidR="00F8738C">
        <w:t xml:space="preserve"> in an effort to</w:t>
      </w:r>
      <w:r w:rsidR="009E32D2" w:rsidRPr="009E32D2">
        <w:t xml:space="preserve"> improve problem recognition, commitment to change, and strategies for avoiding behavioral risks of infections.  A total of </w:t>
      </w:r>
      <w:r w:rsidR="00B41813">
        <w:t>1</w:t>
      </w:r>
      <w:r w:rsidR="00F8738C">
        <w:t>,</w:t>
      </w:r>
      <w:r w:rsidR="00B41813">
        <w:t>39</w:t>
      </w:r>
      <w:r w:rsidR="009373D6">
        <w:t>3</w:t>
      </w:r>
      <w:r w:rsidR="009E32D2" w:rsidRPr="009E32D2">
        <w:t xml:space="preserve"> </w:t>
      </w:r>
      <w:r w:rsidR="00F8738C">
        <w:t>inmates</w:t>
      </w:r>
      <w:r w:rsidR="009E32D2" w:rsidRPr="009E32D2">
        <w:t xml:space="preserve"> from eight different institutions in two states </w:t>
      </w:r>
      <w:r w:rsidR="008A471B">
        <w:t xml:space="preserve">were randomly assigned to receive </w:t>
      </w:r>
      <w:r w:rsidR="008A471B" w:rsidRPr="008A471B">
        <w:rPr>
          <w:i/>
        </w:rPr>
        <w:t>WaySafe</w:t>
      </w:r>
      <w:r w:rsidR="008A471B">
        <w:t xml:space="preserve"> or treatment as usual (TAU).  </w:t>
      </w:r>
      <w:r w:rsidR="009E32D2" w:rsidRPr="009E32D2">
        <w:t>Baseline and follow-up surveys measure</w:t>
      </w:r>
      <w:r w:rsidR="008A471B">
        <w:t>d</w:t>
      </w:r>
      <w:r w:rsidR="009E32D2" w:rsidRPr="009E32D2">
        <w:t xml:space="preserve"> knowledge, confidence, and motivation regarding general HIV information, risky sex and drug use, </w:t>
      </w:r>
      <w:r w:rsidR="008A471B">
        <w:t xml:space="preserve">HIV testing, </w:t>
      </w:r>
      <w:r w:rsidR="009E32D2" w:rsidRPr="009E32D2">
        <w:t xml:space="preserve">and </w:t>
      </w:r>
      <w:r w:rsidR="008A471B">
        <w:t>risk reduction skills</w:t>
      </w:r>
      <w:r w:rsidR="009E32D2" w:rsidRPr="009E32D2">
        <w:t>.</w:t>
      </w:r>
      <w:r w:rsidR="008A471B">
        <w:t xml:space="preserve"> </w:t>
      </w:r>
      <w:r w:rsidR="009E32D2" w:rsidRPr="009E32D2">
        <w:t xml:space="preserve"> </w:t>
      </w:r>
      <w:r w:rsidR="009E32D2" w:rsidRPr="008A471B">
        <w:rPr>
          <w:i/>
        </w:rPr>
        <w:t>Way</w:t>
      </w:r>
      <w:r w:rsidR="00F8738C">
        <w:rPr>
          <w:i/>
        </w:rPr>
        <w:t>S</w:t>
      </w:r>
      <w:r w:rsidR="009E32D2" w:rsidRPr="008A471B">
        <w:rPr>
          <w:i/>
        </w:rPr>
        <w:t>afe</w:t>
      </w:r>
      <w:r w:rsidR="009E32D2" w:rsidRPr="009E32D2">
        <w:t xml:space="preserve"> </w:t>
      </w:r>
      <w:r w:rsidR="008A471B">
        <w:t xml:space="preserve">participants </w:t>
      </w:r>
      <w:r w:rsidR="009E32D2" w:rsidRPr="009E32D2">
        <w:t xml:space="preserve">had significantly </w:t>
      </w:r>
      <w:r w:rsidR="00650672">
        <w:t>better</w:t>
      </w:r>
      <w:r w:rsidR="009E32D2" w:rsidRPr="009E32D2">
        <w:t xml:space="preserve"> scores on all measures at follow-up</w:t>
      </w:r>
      <w:r w:rsidR="009373D6">
        <w:t xml:space="preserve"> </w:t>
      </w:r>
      <w:r w:rsidR="008A471B">
        <w:t>than did TAU</w:t>
      </w:r>
      <w:r w:rsidR="009373D6">
        <w:t xml:space="preserve"> participants</w:t>
      </w:r>
      <w:r w:rsidR="008A471B">
        <w:t xml:space="preserve">, </w:t>
      </w:r>
      <w:r w:rsidR="009E32D2" w:rsidRPr="009E32D2">
        <w:t>support</w:t>
      </w:r>
      <w:r w:rsidR="008A471B">
        <w:t>ing the</w:t>
      </w:r>
      <w:r w:rsidR="009E32D2" w:rsidRPr="009E32D2">
        <w:t xml:space="preserve"> </w:t>
      </w:r>
      <w:r w:rsidR="008A471B">
        <w:t xml:space="preserve">efficacy of </w:t>
      </w:r>
      <w:r w:rsidR="008A471B" w:rsidRPr="008A471B">
        <w:rPr>
          <w:i/>
        </w:rPr>
        <w:t>WaySafe</w:t>
      </w:r>
      <w:r w:rsidR="008A471B">
        <w:t xml:space="preserve"> in improving knowledge, motivation, and confidence in avoiding risky behaviors.  </w:t>
      </w:r>
    </w:p>
    <w:p w:rsidR="009373D6" w:rsidRDefault="009373D6" w:rsidP="009E32D2">
      <w:pPr>
        <w:pStyle w:val="NoSpacing"/>
      </w:pPr>
    </w:p>
    <w:p w:rsidR="00771C02" w:rsidRPr="00406A77" w:rsidRDefault="00771C02" w:rsidP="00771C02">
      <w:pPr>
        <w:pStyle w:val="NoSpacing"/>
      </w:pPr>
      <w:r w:rsidRPr="00406A77">
        <w:t>Keywords:  Prison-</w:t>
      </w:r>
      <w:r w:rsidR="007B386B">
        <w:t>based substance abuse treatment;</w:t>
      </w:r>
      <w:r w:rsidRPr="00406A77">
        <w:t xml:space="preserve"> </w:t>
      </w:r>
      <w:r w:rsidR="007B386B">
        <w:t>Offenders;</w:t>
      </w:r>
      <w:r>
        <w:t xml:space="preserve"> </w:t>
      </w:r>
      <w:r w:rsidR="007B386B">
        <w:t>HIV risk behaviors;</w:t>
      </w:r>
      <w:r w:rsidRPr="00406A77">
        <w:t xml:space="preserve"> TCU Mapping</w:t>
      </w:r>
      <w:r>
        <w:t>-</w:t>
      </w:r>
      <w:r w:rsidRPr="00406A77">
        <w:t>Enhanced Counseling</w:t>
      </w:r>
      <w:r w:rsidR="007B386B">
        <w:t>;</w:t>
      </w:r>
      <w:r>
        <w:t xml:space="preserve"> Risk reduction</w:t>
      </w:r>
      <w:r w:rsidRPr="00406A77">
        <w:t xml:space="preserve"> </w:t>
      </w:r>
    </w:p>
    <w:p w:rsidR="00771C02" w:rsidRDefault="00771C02" w:rsidP="009E32D2">
      <w:pPr>
        <w:pStyle w:val="NoSpacing"/>
      </w:pPr>
    </w:p>
    <w:p w:rsidR="009E32D2" w:rsidRDefault="009E32D2">
      <w:r>
        <w:br w:type="page"/>
      </w:r>
    </w:p>
    <w:p w:rsidR="009E32D2" w:rsidRPr="00723575" w:rsidRDefault="00ED4E23" w:rsidP="00ED4E23">
      <w:pPr>
        <w:pStyle w:val="NoSpacing"/>
        <w:spacing w:line="480" w:lineRule="auto"/>
        <w:rPr>
          <w:rFonts w:cstheme="minorHAnsi"/>
          <w:b/>
        </w:rPr>
      </w:pPr>
      <w:r>
        <w:rPr>
          <w:rFonts w:cstheme="minorHAnsi"/>
          <w:b/>
        </w:rPr>
        <w:lastRenderedPageBreak/>
        <w:t xml:space="preserve">1. </w:t>
      </w:r>
      <w:r w:rsidR="009E32D2" w:rsidRPr="00723575">
        <w:rPr>
          <w:rFonts w:cstheme="minorHAnsi"/>
          <w:b/>
        </w:rPr>
        <w:t>Introduction</w:t>
      </w:r>
    </w:p>
    <w:p w:rsidR="0011024B" w:rsidRDefault="007F502D" w:rsidP="00723575">
      <w:pPr>
        <w:spacing w:line="480" w:lineRule="auto"/>
        <w:ind w:firstLine="720"/>
        <w:rPr>
          <w:rFonts w:eastAsia="Calibri" w:cstheme="minorHAnsi"/>
        </w:rPr>
      </w:pPr>
      <w:r w:rsidRPr="00723575">
        <w:rPr>
          <w:rFonts w:eastAsia="Calibri" w:cstheme="minorHAnsi"/>
        </w:rPr>
        <w:t>At the end of 20</w:t>
      </w:r>
      <w:r w:rsidR="005779F3">
        <w:rPr>
          <w:rFonts w:eastAsia="Calibri" w:cstheme="minorHAnsi"/>
        </w:rPr>
        <w:t>11</w:t>
      </w:r>
      <w:r w:rsidRPr="00723575">
        <w:rPr>
          <w:rFonts w:eastAsia="Calibri" w:cstheme="minorHAnsi"/>
        </w:rPr>
        <w:t xml:space="preserve">, roughly 1.1 million persons in the US were living with HIV/AIDS, with approximately </w:t>
      </w:r>
      <w:r w:rsidR="005779F3">
        <w:rPr>
          <w:rFonts w:eastAsia="Calibri" w:cstheme="minorHAnsi"/>
        </w:rPr>
        <w:t>5</w:t>
      </w:r>
      <w:r w:rsidRPr="00723575">
        <w:rPr>
          <w:rFonts w:eastAsia="Calibri" w:cstheme="minorHAnsi"/>
        </w:rPr>
        <w:t xml:space="preserve">0,000 new cases being confirmed each year </w:t>
      </w:r>
      <w:r w:rsidRPr="005779F3">
        <w:rPr>
          <w:rFonts w:eastAsia="Calibri" w:cstheme="minorHAnsi"/>
        </w:rPr>
        <w:t>(Centers for Disease Control and Prevention, 20</w:t>
      </w:r>
      <w:r w:rsidR="005779F3" w:rsidRPr="005779F3">
        <w:rPr>
          <w:rFonts w:eastAsia="Calibri" w:cstheme="minorHAnsi"/>
        </w:rPr>
        <w:t>13</w:t>
      </w:r>
      <w:r w:rsidR="00397ECD">
        <w:rPr>
          <w:rFonts w:eastAsia="Calibri" w:cstheme="minorHAnsi"/>
        </w:rPr>
        <w:t>a</w:t>
      </w:r>
      <w:r w:rsidRPr="005779F3">
        <w:rPr>
          <w:rFonts w:eastAsia="Calibri" w:cstheme="minorHAnsi"/>
        </w:rPr>
        <w:t>).</w:t>
      </w:r>
      <w:r w:rsidRPr="00723575">
        <w:rPr>
          <w:rFonts w:eastAsia="Calibri" w:cstheme="minorHAnsi"/>
        </w:rPr>
        <w:t xml:space="preserve"> </w:t>
      </w:r>
      <w:r w:rsidR="00397C04">
        <w:rPr>
          <w:rFonts w:eastAsia="Calibri" w:cstheme="minorHAnsi"/>
        </w:rPr>
        <w:t xml:space="preserve"> A</w:t>
      </w:r>
      <w:r w:rsidR="00043AFE" w:rsidRPr="005F355B">
        <w:rPr>
          <w:rFonts w:eastAsia="Calibri" w:cstheme="minorHAnsi"/>
        </w:rPr>
        <w:t>n estimated 1 in 7 people who are HIV+ pass through a correctional facility</w:t>
      </w:r>
      <w:r w:rsidR="00397C04">
        <w:rPr>
          <w:rFonts w:eastAsia="Calibri" w:cstheme="minorHAnsi"/>
        </w:rPr>
        <w:t xml:space="preserve"> annually</w:t>
      </w:r>
      <w:r w:rsidR="00043AFE" w:rsidRPr="005F355B">
        <w:rPr>
          <w:rFonts w:eastAsia="Calibri" w:cstheme="minorHAnsi"/>
        </w:rPr>
        <w:t xml:space="preserve">, and prison is often the first place that offenders are diagnosed with HIV and provided treatment, although most acquired HIV in the community (CDC, 2013b).  </w:t>
      </w:r>
      <w:r w:rsidR="00FA5534" w:rsidRPr="005F355B">
        <w:rPr>
          <w:rFonts w:eastAsia="Calibri" w:cstheme="minorHAnsi"/>
        </w:rPr>
        <w:t>I</w:t>
      </w:r>
      <w:r w:rsidR="004C6706" w:rsidRPr="005F355B">
        <w:rPr>
          <w:rFonts w:eastAsia="Calibri" w:cstheme="minorHAnsi"/>
        </w:rPr>
        <w:t>n</w:t>
      </w:r>
      <w:r w:rsidR="004C6706">
        <w:rPr>
          <w:rFonts w:eastAsia="Calibri" w:cstheme="minorHAnsi"/>
        </w:rPr>
        <w:t xml:space="preserve"> 2008, 1.4% of the total prison </w:t>
      </w:r>
      <w:r w:rsidR="00FA5534">
        <w:rPr>
          <w:rFonts w:eastAsia="Calibri" w:cstheme="minorHAnsi"/>
        </w:rPr>
        <w:t>population was</w:t>
      </w:r>
      <w:r w:rsidR="004C6706">
        <w:rPr>
          <w:rFonts w:eastAsia="Calibri" w:cstheme="minorHAnsi"/>
        </w:rPr>
        <w:t xml:space="preserve"> reported to be living with HIV or AIDS</w:t>
      </w:r>
      <w:r w:rsidR="00F8738C">
        <w:rPr>
          <w:rFonts w:eastAsia="Calibri" w:cstheme="minorHAnsi"/>
        </w:rPr>
        <w:t xml:space="preserve"> (approximately 28,000 out of the 2 million currently incarcerated)</w:t>
      </w:r>
      <w:r w:rsidR="00FA5534">
        <w:rPr>
          <w:rFonts w:eastAsia="Calibri" w:cstheme="minorHAnsi"/>
        </w:rPr>
        <w:t xml:space="preserve">. </w:t>
      </w:r>
      <w:r w:rsidR="004C6706">
        <w:rPr>
          <w:rFonts w:eastAsia="Calibri" w:cstheme="minorHAnsi"/>
        </w:rPr>
        <w:t xml:space="preserve"> In 2007, the rate of confirmed AIDS cases among state and federal prisoners was about 2.4 times the rate in the gene</w:t>
      </w:r>
      <w:r w:rsidR="008D28F2">
        <w:rPr>
          <w:rFonts w:eastAsia="Calibri" w:cstheme="minorHAnsi"/>
        </w:rPr>
        <w:t>ral U.S population (CDC, 2013b)</w:t>
      </w:r>
      <w:r w:rsidR="004C6706">
        <w:rPr>
          <w:rFonts w:eastAsia="Calibri" w:cstheme="minorHAnsi"/>
        </w:rPr>
        <w:t>.  In 2003, about 15,000 seropositive prison inmates were being paroled annually</w:t>
      </w:r>
      <w:r w:rsidRPr="00723575">
        <w:rPr>
          <w:rFonts w:eastAsia="Calibri" w:cstheme="minorHAnsi"/>
        </w:rPr>
        <w:t xml:space="preserve"> (Stephan &amp; Karberg, 2003)</w:t>
      </w:r>
      <w:r w:rsidR="004C6706">
        <w:rPr>
          <w:rFonts w:eastAsia="Calibri" w:cstheme="minorHAnsi"/>
        </w:rPr>
        <w:t xml:space="preserve">.  </w:t>
      </w:r>
      <w:r w:rsidR="00422663">
        <w:rPr>
          <w:rFonts w:eastAsia="Calibri" w:cstheme="minorHAnsi"/>
        </w:rPr>
        <w:t xml:space="preserve">The CDC also estimates that </w:t>
      </w:r>
      <w:r w:rsidR="009D4AB7">
        <w:rPr>
          <w:rFonts w:eastAsia="Calibri" w:cstheme="minorHAnsi"/>
        </w:rPr>
        <w:t xml:space="preserve">16% to 41% </w:t>
      </w:r>
      <w:r w:rsidR="00422663">
        <w:rPr>
          <w:rFonts w:eastAsia="Calibri" w:cstheme="minorHAnsi"/>
        </w:rPr>
        <w:t xml:space="preserve">of inmates in U.S. jails and prisons </w:t>
      </w:r>
      <w:r w:rsidR="009D4AB7">
        <w:rPr>
          <w:rFonts w:eastAsia="Calibri" w:cstheme="minorHAnsi"/>
        </w:rPr>
        <w:t>have ever been infected with</w:t>
      </w:r>
      <w:r w:rsidR="00422663">
        <w:rPr>
          <w:rFonts w:eastAsia="Calibri" w:cstheme="minorHAnsi"/>
        </w:rPr>
        <w:t xml:space="preserve"> Hepatitis C </w:t>
      </w:r>
      <w:r w:rsidR="009D4AB7">
        <w:rPr>
          <w:rFonts w:eastAsia="Calibri" w:cstheme="minorHAnsi"/>
        </w:rPr>
        <w:t xml:space="preserve">(HCV) and 12% to 35% are chronically infected compared to 1% to 1.5% of the general U.S. population (CDC, 2011).  HCV </w:t>
      </w:r>
      <w:r w:rsidR="00422663">
        <w:rPr>
          <w:rFonts w:eastAsia="Calibri" w:cstheme="minorHAnsi"/>
        </w:rPr>
        <w:t xml:space="preserve">can easily spread between inmates through sharing of clandestine tattoo equipment or even fighting when blood is present. </w:t>
      </w:r>
    </w:p>
    <w:p w:rsidR="009D4AB7" w:rsidRDefault="00106245" w:rsidP="00723575">
      <w:pPr>
        <w:spacing w:line="480" w:lineRule="auto"/>
        <w:ind w:firstLine="720"/>
        <w:rPr>
          <w:rFonts w:eastAsia="Calibri" w:cstheme="minorHAnsi"/>
        </w:rPr>
      </w:pPr>
      <w:r w:rsidRPr="00723575">
        <w:rPr>
          <w:rFonts w:cstheme="minorHAnsi"/>
        </w:rPr>
        <w:t>In Texas, seroprevalence rates among a sample of 4,386 newly admitted inmates showed 2% of males and 9% of females were infected with HIV, and they vary further by race and correctional setting (</w:t>
      </w:r>
      <w:r w:rsidRPr="00981878">
        <w:rPr>
          <w:rFonts w:cstheme="minorHAnsi"/>
        </w:rPr>
        <w:t>Wu et al., 2001).</w:t>
      </w:r>
      <w:r w:rsidRPr="00723575">
        <w:rPr>
          <w:rFonts w:cstheme="minorHAnsi"/>
        </w:rPr>
        <w:t xml:space="preserve"> </w:t>
      </w:r>
      <w:r>
        <w:rPr>
          <w:rFonts w:cstheme="minorHAnsi"/>
        </w:rPr>
        <w:t xml:space="preserve"> </w:t>
      </w:r>
      <w:r w:rsidRPr="00723575">
        <w:rPr>
          <w:rFonts w:cstheme="minorHAnsi"/>
        </w:rPr>
        <w:t>High-risk drug use and sexual practices are common among criminal justice (CJ) populations and are the two primary contributors to the high rate of HIV/AIDS cases (Inciardi, 1993).</w:t>
      </w:r>
      <w:r w:rsidR="00213633">
        <w:rPr>
          <w:rFonts w:cstheme="minorHAnsi"/>
        </w:rPr>
        <w:t xml:space="preserve"> </w:t>
      </w:r>
      <w:r w:rsidRPr="00723575">
        <w:rPr>
          <w:rFonts w:cstheme="minorHAnsi"/>
        </w:rPr>
        <w:t xml:space="preserve"> In an in-custody drug treatment program in </w:t>
      </w:r>
      <w:smartTag w:uri="urn:schemas-microsoft-com:office:smarttags" w:element="place">
        <w:smartTag w:uri="urn:schemas-microsoft-com:office:smarttags" w:element="State">
          <w:r w:rsidRPr="00723575">
            <w:rPr>
              <w:rFonts w:cstheme="minorHAnsi"/>
            </w:rPr>
            <w:t>Texas</w:t>
          </w:r>
        </w:smartTag>
      </w:smartTag>
      <w:r w:rsidRPr="00723575">
        <w:rPr>
          <w:rFonts w:cstheme="minorHAnsi"/>
        </w:rPr>
        <w:t xml:space="preserve">, for example, Knight et al. (1997) found that nearly half of all program admissions reported </w:t>
      </w:r>
      <w:r w:rsidR="00650672">
        <w:rPr>
          <w:rFonts w:cstheme="minorHAnsi"/>
        </w:rPr>
        <w:t>injection drug use (</w:t>
      </w:r>
      <w:r w:rsidRPr="00723575">
        <w:rPr>
          <w:rFonts w:cstheme="minorHAnsi"/>
        </w:rPr>
        <w:t>IDU</w:t>
      </w:r>
      <w:r w:rsidR="00650672">
        <w:rPr>
          <w:rFonts w:cstheme="minorHAnsi"/>
        </w:rPr>
        <w:t>)</w:t>
      </w:r>
      <w:r w:rsidRPr="00723575">
        <w:rPr>
          <w:rFonts w:cstheme="minorHAnsi"/>
        </w:rPr>
        <w:t xml:space="preserve"> within the 6 months preceding custody and nearly two-thirds reported risky sexual practices. </w:t>
      </w:r>
      <w:r w:rsidR="00213633">
        <w:rPr>
          <w:rFonts w:cstheme="minorHAnsi"/>
        </w:rPr>
        <w:t xml:space="preserve"> </w:t>
      </w:r>
      <w:r w:rsidRPr="00723575">
        <w:rPr>
          <w:rFonts w:cstheme="minorHAnsi"/>
        </w:rPr>
        <w:t>Nearly all these at-risk individuals will return to their communities where they, in very large part, will continue to pose a risk to</w:t>
      </w:r>
      <w:r w:rsidR="00650672">
        <w:rPr>
          <w:rFonts w:cstheme="minorHAnsi"/>
        </w:rPr>
        <w:t xml:space="preserve"> themselves and </w:t>
      </w:r>
      <w:r w:rsidRPr="00723575">
        <w:rPr>
          <w:rFonts w:cstheme="minorHAnsi"/>
        </w:rPr>
        <w:t xml:space="preserve">the health and safety of others. </w:t>
      </w:r>
      <w:r w:rsidR="00397C04">
        <w:rPr>
          <w:rFonts w:cstheme="minorHAnsi"/>
        </w:rPr>
        <w:t xml:space="preserve"> </w:t>
      </w:r>
      <w:r w:rsidRPr="00723575">
        <w:rPr>
          <w:rFonts w:cstheme="minorHAnsi"/>
        </w:rPr>
        <w:t>It is urgent that behavior change programs capable of reducing these dangers are instituted during the time offenders are under CJ supervision.</w:t>
      </w:r>
      <w:r w:rsidR="00043AFE">
        <w:rPr>
          <w:rFonts w:cstheme="minorHAnsi"/>
        </w:rPr>
        <w:t xml:space="preserve">  </w:t>
      </w:r>
      <w:r w:rsidR="00043AFE" w:rsidRPr="005F355B">
        <w:rPr>
          <w:rFonts w:cstheme="minorHAnsi"/>
        </w:rPr>
        <w:t>While d</w:t>
      </w:r>
      <w:r w:rsidR="00043AFE" w:rsidRPr="005F355B">
        <w:rPr>
          <w:rFonts w:eastAsia="Calibri" w:cstheme="minorHAnsi"/>
        </w:rPr>
        <w:t xml:space="preserve">isease risk among many </w:t>
      </w:r>
      <w:r w:rsidR="00043AFE" w:rsidRPr="005F355B">
        <w:rPr>
          <w:rFonts w:eastAsia="Calibri" w:cstheme="minorHAnsi"/>
        </w:rPr>
        <w:lastRenderedPageBreak/>
        <w:t>individuals involved in the criminal justice system poses a threat to public health, the criminal justice setting also provides a potential avenue for reducing this threat.</w:t>
      </w:r>
    </w:p>
    <w:p w:rsidR="00111491" w:rsidRPr="00723575" w:rsidRDefault="00111491" w:rsidP="00364C55">
      <w:pPr>
        <w:autoSpaceDE w:val="0"/>
        <w:autoSpaceDN w:val="0"/>
        <w:adjustRightInd w:val="0"/>
        <w:spacing w:line="480" w:lineRule="auto"/>
        <w:ind w:firstLine="720"/>
        <w:rPr>
          <w:rFonts w:cstheme="minorHAnsi"/>
        </w:rPr>
      </w:pPr>
      <w:r w:rsidRPr="00723575">
        <w:rPr>
          <w:rFonts w:cstheme="minorHAnsi"/>
        </w:rPr>
        <w:t xml:space="preserve">Drug treatment programs within correctional facilities can be seen as providing a unique opportunity to address health risks these individuals present to the community (Freudenberg, 2001). </w:t>
      </w:r>
      <w:r w:rsidR="00397C04">
        <w:rPr>
          <w:rFonts w:cstheme="minorHAnsi"/>
        </w:rPr>
        <w:t xml:space="preserve"> </w:t>
      </w:r>
      <w:r w:rsidRPr="00723575">
        <w:rPr>
          <w:rFonts w:cstheme="minorHAnsi"/>
        </w:rPr>
        <w:t>On the one hand, offenders at heightened risk for HIV infection have been filtered from the larger correctional population for assignment to drug treatment programs.</w:t>
      </w:r>
      <w:r w:rsidR="00397C04">
        <w:rPr>
          <w:rFonts w:cstheme="minorHAnsi"/>
        </w:rPr>
        <w:t xml:space="preserve"> </w:t>
      </w:r>
      <w:r w:rsidRPr="00723575">
        <w:rPr>
          <w:rFonts w:cstheme="minorHAnsi"/>
        </w:rPr>
        <w:t xml:space="preserve"> On the other, those assigned or volunteering for drug treatment are already likely to be more invested in a significant health-oriented behavior change initiative than non-participants. </w:t>
      </w:r>
      <w:r w:rsidR="00397C04">
        <w:rPr>
          <w:rFonts w:cstheme="minorHAnsi"/>
        </w:rPr>
        <w:t xml:space="preserve"> </w:t>
      </w:r>
      <w:r w:rsidRPr="00723575">
        <w:rPr>
          <w:rFonts w:cstheme="minorHAnsi"/>
        </w:rPr>
        <w:t xml:space="preserve">Thus, drug treatment programs within correctional settings represent important access points for providing a range of services to large numbers of high-risk drug users. </w:t>
      </w:r>
      <w:r w:rsidR="00397C04">
        <w:rPr>
          <w:rFonts w:cstheme="minorHAnsi"/>
        </w:rPr>
        <w:t xml:space="preserve"> </w:t>
      </w:r>
      <w:r w:rsidRPr="00723575">
        <w:rPr>
          <w:rFonts w:cstheme="minorHAnsi"/>
        </w:rPr>
        <w:t xml:space="preserve">By virtue of the close and continuing supervision of the correctional population, institution-based programs also are venues that allow comparatively long-term, staged multi-session interventions to be delivered efficiently to treatment clients. </w:t>
      </w:r>
      <w:r w:rsidR="00397C04">
        <w:rPr>
          <w:rFonts w:cstheme="minorHAnsi"/>
        </w:rPr>
        <w:t xml:space="preserve"> </w:t>
      </w:r>
      <w:r w:rsidRPr="00723575">
        <w:rPr>
          <w:rFonts w:cstheme="minorHAnsi"/>
        </w:rPr>
        <w:t xml:space="preserve">Indeed, recent evaluations of HIV/AIDS multi-session prevention/intervention programs implemented in US correctional settings indicate they have the </w:t>
      </w:r>
      <w:r w:rsidRPr="00723575">
        <w:rPr>
          <w:rFonts w:cstheme="minorHAnsi"/>
          <w:i/>
        </w:rPr>
        <w:t>potential</w:t>
      </w:r>
      <w:r w:rsidRPr="00723575">
        <w:rPr>
          <w:rFonts w:cstheme="minorHAnsi"/>
        </w:rPr>
        <w:t xml:space="preserve"> to influence offenders to reduce their risk-taking behaviors. </w:t>
      </w:r>
      <w:r w:rsidR="00106245">
        <w:rPr>
          <w:rFonts w:cstheme="minorHAnsi"/>
        </w:rPr>
        <w:t xml:space="preserve"> For example, </w:t>
      </w:r>
      <w:r w:rsidRPr="00723575">
        <w:rPr>
          <w:rFonts w:cstheme="minorHAnsi"/>
        </w:rPr>
        <w:t>Bauserman et al. (2003) found a relationship between HIV prevention efforts and reductions in offender high-risk sexual activity and injection drug use.</w:t>
      </w:r>
      <w:r w:rsidR="00397C04">
        <w:rPr>
          <w:rFonts w:cstheme="minorHAnsi"/>
        </w:rPr>
        <w:t xml:space="preserve"> </w:t>
      </w:r>
      <w:r w:rsidRPr="00723575">
        <w:rPr>
          <w:rFonts w:cstheme="minorHAnsi"/>
        </w:rPr>
        <w:t xml:space="preserve"> In </w:t>
      </w:r>
      <w:smartTag w:uri="urn:schemas-microsoft-com:office:smarttags" w:element="State">
        <w:smartTag w:uri="urn:schemas-microsoft-com:office:smarttags" w:element="place">
          <w:r w:rsidRPr="00723575">
            <w:rPr>
              <w:rFonts w:cstheme="minorHAnsi"/>
            </w:rPr>
            <w:t>Texas</w:t>
          </w:r>
        </w:smartTag>
      </w:smartTag>
      <w:r w:rsidRPr="00723575">
        <w:rPr>
          <w:rFonts w:cstheme="minorHAnsi"/>
        </w:rPr>
        <w:t>, a peer education program was found to significantly increase knowledge and self-assessed skills for reducing risk taking (Ross et al., 2006).</w:t>
      </w:r>
    </w:p>
    <w:p w:rsidR="00111491" w:rsidRPr="00723575" w:rsidRDefault="00111491" w:rsidP="00723575">
      <w:pPr>
        <w:autoSpaceDE w:val="0"/>
        <w:autoSpaceDN w:val="0"/>
        <w:adjustRightInd w:val="0"/>
        <w:spacing w:line="480" w:lineRule="auto"/>
        <w:ind w:firstLine="720"/>
        <w:rPr>
          <w:rFonts w:cstheme="minorHAnsi"/>
        </w:rPr>
      </w:pPr>
      <w:r w:rsidRPr="00723575">
        <w:rPr>
          <w:rFonts w:cstheme="minorHAnsi"/>
        </w:rPr>
        <w:t xml:space="preserve">Unfortunately, well established and consistent use of HIV/AIDS risk reduction prevention/intervention programs with continuity of care do not exist in most CJ treatment systems because of widespread lack of policy </w:t>
      </w:r>
      <w:r w:rsidR="00650672">
        <w:rPr>
          <w:rFonts w:cstheme="minorHAnsi"/>
        </w:rPr>
        <w:t>protocols</w:t>
      </w:r>
      <w:r w:rsidRPr="00723575">
        <w:rPr>
          <w:rFonts w:cstheme="minorHAnsi"/>
        </w:rPr>
        <w:t xml:space="preserve"> and integration between institution and community-based corrections, health, and social service agencies. </w:t>
      </w:r>
      <w:r w:rsidR="00213633">
        <w:rPr>
          <w:rFonts w:cstheme="minorHAnsi"/>
        </w:rPr>
        <w:t xml:space="preserve"> </w:t>
      </w:r>
      <w:r w:rsidRPr="00723575">
        <w:rPr>
          <w:rFonts w:cstheme="minorHAnsi"/>
        </w:rPr>
        <w:t xml:space="preserve">While over 2 million individuals are currently incarcerated in the US, there are approximately 5 million offenders under community supervision (Bureau of Justice Statistics, 2004). </w:t>
      </w:r>
      <w:r w:rsidR="00213633">
        <w:rPr>
          <w:rFonts w:cstheme="minorHAnsi"/>
        </w:rPr>
        <w:t xml:space="preserve"> </w:t>
      </w:r>
      <w:r w:rsidRPr="00723575">
        <w:rPr>
          <w:rFonts w:cstheme="minorHAnsi"/>
        </w:rPr>
        <w:t xml:space="preserve">Drug use in this population is common, with 41% of probationers in 1996 having had drug treatment as a special condition, and 33% having had a drug testing requirement </w:t>
      </w:r>
      <w:r w:rsidRPr="00723575">
        <w:rPr>
          <w:rFonts w:cstheme="minorHAnsi"/>
        </w:rPr>
        <w:lastRenderedPageBreak/>
        <w:t xml:space="preserve">(Bonczar, 1997). </w:t>
      </w:r>
      <w:r w:rsidR="00213633">
        <w:rPr>
          <w:rFonts w:cstheme="minorHAnsi"/>
        </w:rPr>
        <w:t xml:space="preserve"> </w:t>
      </w:r>
      <w:r w:rsidRPr="00723575">
        <w:rPr>
          <w:rFonts w:cstheme="minorHAnsi"/>
        </w:rPr>
        <w:t>Clearly, to meet the challenge of serving HIV-infected and at-risk offenders re-entering the community, a deliberate and coordinated continuum of risk-reduction services is needed that begins during custody (as part of a drug treatment program) and is integrated with the delivery of continuing care services upon re-entry into the community.</w:t>
      </w:r>
      <w:r w:rsidR="00213633">
        <w:rPr>
          <w:rFonts w:cstheme="minorHAnsi"/>
        </w:rPr>
        <w:t xml:space="preserve"> </w:t>
      </w:r>
      <w:r w:rsidRPr="00723575">
        <w:rPr>
          <w:rFonts w:cstheme="minorHAnsi"/>
        </w:rPr>
        <w:t xml:space="preserve"> In particular, risk reduction approaches for CJ populations are needed that have the capability of addressing motivational, social, and cognitive deficits. </w:t>
      </w:r>
    </w:p>
    <w:p w:rsidR="00106245" w:rsidRPr="00723575" w:rsidRDefault="00106245" w:rsidP="00106245">
      <w:pPr>
        <w:spacing w:line="480" w:lineRule="auto"/>
        <w:ind w:firstLine="720"/>
        <w:rPr>
          <w:rFonts w:cstheme="minorHAnsi"/>
        </w:rPr>
      </w:pPr>
      <w:r w:rsidRPr="00723575">
        <w:rPr>
          <w:rFonts w:eastAsia="Calibri" w:cstheme="minorHAnsi"/>
        </w:rPr>
        <w:t xml:space="preserve">The present </w:t>
      </w:r>
      <w:r w:rsidRPr="00723575">
        <w:rPr>
          <w:rFonts w:cstheme="minorHAnsi"/>
        </w:rPr>
        <w:t>study</w:t>
      </w:r>
      <w:r>
        <w:rPr>
          <w:rFonts w:cstheme="minorHAnsi"/>
        </w:rPr>
        <w:t>, based on participants from eight correctional facilities in two states,</w:t>
      </w:r>
      <w:r w:rsidRPr="00723575">
        <w:rPr>
          <w:rFonts w:cstheme="minorHAnsi"/>
        </w:rPr>
        <w:t xml:space="preserve"> describes</w:t>
      </w:r>
      <w:r w:rsidRPr="00723575">
        <w:rPr>
          <w:rFonts w:eastAsia="Calibri" w:cstheme="minorHAnsi"/>
        </w:rPr>
        <w:t xml:space="preserve"> the development </w:t>
      </w:r>
      <w:r w:rsidRPr="00723575">
        <w:rPr>
          <w:rFonts w:cstheme="minorHAnsi"/>
        </w:rPr>
        <w:t xml:space="preserve">and testing </w:t>
      </w:r>
      <w:r w:rsidRPr="00723575">
        <w:rPr>
          <w:rFonts w:eastAsia="Calibri" w:cstheme="minorHAnsi"/>
        </w:rPr>
        <w:t xml:space="preserve">of </w:t>
      </w:r>
      <w:r w:rsidRPr="00FA5534">
        <w:rPr>
          <w:rFonts w:eastAsia="Calibri" w:cstheme="minorHAnsi"/>
          <w:i/>
        </w:rPr>
        <w:t>WaySafe</w:t>
      </w:r>
      <w:r>
        <w:rPr>
          <w:rFonts w:eastAsia="Calibri" w:cstheme="minorHAnsi"/>
        </w:rPr>
        <w:t xml:space="preserve">, </w:t>
      </w:r>
      <w:r w:rsidRPr="00FA5534">
        <w:rPr>
          <w:rFonts w:eastAsia="Calibri" w:cstheme="minorHAnsi"/>
        </w:rPr>
        <w:t>a</w:t>
      </w:r>
      <w:r>
        <w:rPr>
          <w:rFonts w:eastAsia="Calibri" w:cstheme="minorHAnsi"/>
        </w:rPr>
        <w:t>n</w:t>
      </w:r>
      <w:r w:rsidRPr="00FA5534">
        <w:rPr>
          <w:rFonts w:eastAsia="Calibri" w:cstheme="minorHAnsi"/>
        </w:rPr>
        <w:t xml:space="preserve"> intervention </w:t>
      </w:r>
      <w:r>
        <w:rPr>
          <w:rFonts w:eastAsia="Calibri" w:cstheme="minorHAnsi"/>
        </w:rPr>
        <w:t xml:space="preserve">designed to reduce the risk </w:t>
      </w:r>
      <w:r w:rsidRPr="00FA5534">
        <w:rPr>
          <w:rFonts w:eastAsia="Calibri" w:cstheme="minorHAnsi"/>
        </w:rPr>
        <w:t>for HIV and other infectious diseases</w:t>
      </w:r>
      <w:r>
        <w:rPr>
          <w:rFonts w:eastAsia="Calibri" w:cstheme="minorHAnsi"/>
        </w:rPr>
        <w:t xml:space="preserve"> among soon-to-be-released inmates participating in an in-prison therapeutic community drug treatment program</w:t>
      </w:r>
      <w:r w:rsidRPr="00723575">
        <w:rPr>
          <w:rFonts w:cstheme="minorHAnsi"/>
        </w:rPr>
        <w:t xml:space="preserve">.  </w:t>
      </w:r>
      <w:r>
        <w:rPr>
          <w:rFonts w:cstheme="minorHAnsi"/>
        </w:rPr>
        <w:t>The intervention</w:t>
      </w:r>
      <w:r w:rsidRPr="00723575">
        <w:rPr>
          <w:rFonts w:cstheme="minorHAnsi"/>
        </w:rPr>
        <w:t xml:space="preserve"> targets inmates in the last phase of their substance abuse treatment</w:t>
      </w:r>
      <w:r>
        <w:rPr>
          <w:rFonts w:cstheme="minorHAnsi"/>
        </w:rPr>
        <w:t>, a critical pre-release period</w:t>
      </w:r>
      <w:r w:rsidRPr="00723575">
        <w:rPr>
          <w:rFonts w:cstheme="minorHAnsi"/>
        </w:rPr>
        <w:t xml:space="preserve"> </w:t>
      </w:r>
      <w:r>
        <w:rPr>
          <w:rFonts w:cstheme="minorHAnsi"/>
        </w:rPr>
        <w:t xml:space="preserve">where </w:t>
      </w:r>
      <w:r w:rsidRPr="00723575">
        <w:rPr>
          <w:rFonts w:cstheme="minorHAnsi"/>
        </w:rPr>
        <w:t xml:space="preserve">there are challenges to engaging and convincing offenders with </w:t>
      </w:r>
      <w:r>
        <w:rPr>
          <w:rFonts w:cstheme="minorHAnsi"/>
        </w:rPr>
        <w:t xml:space="preserve">a history of </w:t>
      </w:r>
      <w:r w:rsidRPr="00723575">
        <w:rPr>
          <w:rFonts w:cstheme="minorHAnsi"/>
        </w:rPr>
        <w:t xml:space="preserve">substance abuse </w:t>
      </w:r>
      <w:r>
        <w:rPr>
          <w:rFonts w:cstheme="minorHAnsi"/>
        </w:rPr>
        <w:t>problems</w:t>
      </w:r>
      <w:r w:rsidRPr="00723575">
        <w:rPr>
          <w:rFonts w:cstheme="minorHAnsi"/>
        </w:rPr>
        <w:t xml:space="preserve"> to adequately plan and apply risk reduction principles during the</w:t>
      </w:r>
      <w:r>
        <w:rPr>
          <w:rFonts w:cstheme="minorHAnsi"/>
        </w:rPr>
        <w:t>ir</w:t>
      </w:r>
      <w:r w:rsidRPr="00723575">
        <w:rPr>
          <w:rFonts w:cstheme="minorHAnsi"/>
        </w:rPr>
        <w:t xml:space="preserve"> crucial </w:t>
      </w:r>
      <w:r>
        <w:rPr>
          <w:rFonts w:cstheme="minorHAnsi"/>
        </w:rPr>
        <w:t xml:space="preserve">post-release </w:t>
      </w:r>
      <w:r w:rsidRPr="00723575">
        <w:rPr>
          <w:rFonts w:cstheme="minorHAnsi"/>
        </w:rPr>
        <w:t xml:space="preserve">community re-entry phase.  </w:t>
      </w:r>
      <w:r>
        <w:rPr>
          <w:rFonts w:cstheme="minorHAnsi"/>
          <w:i/>
        </w:rPr>
        <w:t xml:space="preserve">WaySafe </w:t>
      </w:r>
      <w:r>
        <w:rPr>
          <w:rFonts w:cstheme="minorHAnsi"/>
        </w:rPr>
        <w:t>also takes into account that c</w:t>
      </w:r>
      <w:r w:rsidRPr="00723575">
        <w:rPr>
          <w:rFonts w:cstheme="minorHAnsi"/>
        </w:rPr>
        <w:t xml:space="preserve">orrectional systems are often fragmented, representing another challenge to efforts to provide integrated care and supervision to offenders at-risk for infectious diseases. </w:t>
      </w:r>
    </w:p>
    <w:p w:rsidR="00ED4E23" w:rsidRPr="00ED4E23" w:rsidRDefault="00ED4E23" w:rsidP="00ED4E23">
      <w:pPr>
        <w:autoSpaceDE w:val="0"/>
        <w:autoSpaceDN w:val="0"/>
        <w:adjustRightInd w:val="0"/>
        <w:spacing w:line="480" w:lineRule="auto"/>
        <w:jc w:val="both"/>
        <w:rPr>
          <w:rFonts w:cstheme="minorHAnsi"/>
          <w:i/>
        </w:rPr>
      </w:pPr>
      <w:r w:rsidRPr="00ED4E23">
        <w:rPr>
          <w:rFonts w:cstheme="minorHAnsi"/>
          <w:i/>
        </w:rPr>
        <w:t>1.1</w:t>
      </w:r>
      <w:r>
        <w:rPr>
          <w:rFonts w:cstheme="minorHAnsi"/>
          <w:i/>
        </w:rPr>
        <w:t>.</w:t>
      </w:r>
      <w:r w:rsidRPr="00ED4E23">
        <w:rPr>
          <w:rFonts w:cstheme="minorHAnsi"/>
          <w:i/>
        </w:rPr>
        <w:t xml:space="preserve"> </w:t>
      </w:r>
      <w:r>
        <w:rPr>
          <w:rFonts w:cstheme="minorHAnsi"/>
          <w:i/>
        </w:rPr>
        <w:t>WaySafe</w:t>
      </w:r>
    </w:p>
    <w:p w:rsidR="00957790" w:rsidRPr="00723575" w:rsidRDefault="007E58F3" w:rsidP="00957790">
      <w:pPr>
        <w:autoSpaceDE w:val="0"/>
        <w:autoSpaceDN w:val="0"/>
        <w:adjustRightInd w:val="0"/>
        <w:spacing w:line="480" w:lineRule="auto"/>
        <w:ind w:firstLine="720"/>
        <w:rPr>
          <w:rFonts w:cstheme="minorHAnsi"/>
        </w:rPr>
      </w:pPr>
      <w:r w:rsidRPr="007D63E8">
        <w:rPr>
          <w:rFonts w:cstheme="minorHAnsi"/>
          <w:i/>
        </w:rPr>
        <w:t>WaySafe</w:t>
      </w:r>
      <w:r w:rsidRPr="00723575">
        <w:rPr>
          <w:rFonts w:cstheme="minorHAnsi"/>
        </w:rPr>
        <w:t xml:space="preserve"> is </w:t>
      </w:r>
      <w:r w:rsidR="00957790">
        <w:rPr>
          <w:rFonts w:cstheme="minorHAnsi"/>
        </w:rPr>
        <w:t>a</w:t>
      </w:r>
      <w:r w:rsidRPr="00723575">
        <w:rPr>
          <w:rFonts w:cstheme="minorHAnsi"/>
        </w:rPr>
        <w:t xml:space="preserve"> </w:t>
      </w:r>
      <w:r w:rsidR="009D08DF" w:rsidRPr="005F355B">
        <w:rPr>
          <w:rFonts w:cstheme="minorHAnsi"/>
        </w:rPr>
        <w:t xml:space="preserve">short </w:t>
      </w:r>
      <w:r w:rsidR="00DA0C8E" w:rsidRPr="005F355B">
        <w:rPr>
          <w:rFonts w:cstheme="minorHAnsi"/>
        </w:rPr>
        <w:t xml:space="preserve">6-session </w:t>
      </w:r>
      <w:r w:rsidRPr="00723575">
        <w:rPr>
          <w:rFonts w:cstheme="minorHAnsi"/>
        </w:rPr>
        <w:t xml:space="preserve">curriculum developed to improve decision-making skills regarding disease-risk reduction behaviors after release from prison back to the community.  </w:t>
      </w:r>
      <w:r w:rsidR="005F7761" w:rsidRPr="005F355B">
        <w:rPr>
          <w:rFonts w:cstheme="minorHAnsi"/>
        </w:rPr>
        <w:t>The curriculum</w:t>
      </w:r>
      <w:r w:rsidR="005F7761">
        <w:rPr>
          <w:rFonts w:cstheme="minorHAnsi"/>
          <w:color w:val="FF0000"/>
        </w:rPr>
        <w:t xml:space="preserve"> </w:t>
      </w:r>
      <w:r w:rsidR="005F7761">
        <w:rPr>
          <w:rFonts w:cstheme="minorHAnsi"/>
        </w:rPr>
        <w:t xml:space="preserve">focuses on improving decision-making and intentions regarding risk-behaviors.  </w:t>
      </w:r>
      <w:r w:rsidRPr="00723575">
        <w:rPr>
          <w:rFonts w:cstheme="minorHAnsi"/>
        </w:rPr>
        <w:t xml:space="preserve">It is intended to be delivered to inmates during the last months before release from prison. </w:t>
      </w:r>
      <w:r w:rsidR="00957790">
        <w:rPr>
          <w:rFonts w:cstheme="minorHAnsi"/>
        </w:rPr>
        <w:t>The curriculum is based in part o</w:t>
      </w:r>
      <w:r w:rsidR="00957790" w:rsidRPr="002D689B">
        <w:rPr>
          <w:rFonts w:cstheme="minorHAnsi"/>
        </w:rPr>
        <w:t>n Fishbein &amp; Ajzen’s (</w:t>
      </w:r>
      <w:r w:rsidR="002D689B" w:rsidRPr="002D689B">
        <w:rPr>
          <w:rFonts w:cstheme="minorHAnsi"/>
        </w:rPr>
        <w:t xml:space="preserve">Fishbein &amp; Ajzen, </w:t>
      </w:r>
      <w:r w:rsidR="00957790" w:rsidRPr="002D689B">
        <w:rPr>
          <w:rFonts w:cstheme="minorHAnsi"/>
        </w:rPr>
        <w:t xml:space="preserve">1975; </w:t>
      </w:r>
      <w:r w:rsidR="002D689B" w:rsidRPr="002D689B">
        <w:rPr>
          <w:rFonts w:cstheme="minorHAnsi"/>
        </w:rPr>
        <w:t xml:space="preserve">Ajzen &amp; Fishbein, </w:t>
      </w:r>
      <w:r w:rsidR="00957790" w:rsidRPr="002D689B">
        <w:rPr>
          <w:rFonts w:cstheme="minorHAnsi"/>
        </w:rPr>
        <w:t>1980) Theory of</w:t>
      </w:r>
      <w:r w:rsidR="00957790">
        <w:rPr>
          <w:rFonts w:cstheme="minorHAnsi"/>
        </w:rPr>
        <w:t xml:space="preserve"> Reasoned Action</w:t>
      </w:r>
      <w:r w:rsidR="005F7761">
        <w:rPr>
          <w:rFonts w:cstheme="minorHAnsi"/>
        </w:rPr>
        <w:t>,</w:t>
      </w:r>
      <w:r w:rsidR="00957790">
        <w:rPr>
          <w:rFonts w:cstheme="minorHAnsi"/>
        </w:rPr>
        <w:t xml:space="preserve"> which posits that behavior will be most closely associated with behavioral intentions.  </w:t>
      </w:r>
    </w:p>
    <w:p w:rsidR="00723575" w:rsidRPr="00723575" w:rsidRDefault="007E58F3" w:rsidP="00650672">
      <w:pPr>
        <w:spacing w:line="480" w:lineRule="auto"/>
        <w:ind w:firstLine="720"/>
        <w:rPr>
          <w:rFonts w:cstheme="minorHAnsi"/>
        </w:rPr>
      </w:pPr>
      <w:r w:rsidRPr="007D63E8">
        <w:rPr>
          <w:rFonts w:cstheme="minorHAnsi"/>
          <w:i/>
        </w:rPr>
        <w:t>WaySafe</w:t>
      </w:r>
      <w:r w:rsidRPr="00723575">
        <w:rPr>
          <w:rFonts w:cstheme="minorHAnsi"/>
        </w:rPr>
        <w:t xml:space="preserve"> </w:t>
      </w:r>
      <w:r w:rsidR="00957790">
        <w:rPr>
          <w:rFonts w:cstheme="minorHAnsi"/>
        </w:rPr>
        <w:t>utilizes</w:t>
      </w:r>
      <w:r w:rsidRPr="00723575">
        <w:rPr>
          <w:rFonts w:cstheme="minorHAnsi"/>
        </w:rPr>
        <w:t xml:space="preserve"> </w:t>
      </w:r>
      <w:r>
        <w:rPr>
          <w:rFonts w:cstheme="minorHAnsi"/>
        </w:rPr>
        <w:t xml:space="preserve">TCU Mapping-Enhanced Counseling, </w:t>
      </w:r>
      <w:r w:rsidR="00723575" w:rsidRPr="00723575">
        <w:rPr>
          <w:rFonts w:cstheme="minorHAnsi"/>
        </w:rPr>
        <w:t xml:space="preserve">an evidence-based graphic representation strategy used to visually enhance the counseling process, both between counselor and client(s) or as </w:t>
      </w:r>
      <w:r w:rsidR="00723575" w:rsidRPr="00723575">
        <w:rPr>
          <w:rFonts w:cstheme="minorHAnsi"/>
        </w:rPr>
        <w:lastRenderedPageBreak/>
        <w:t xml:space="preserve">part of the presentation and implementation of TCU intervention manuals (Dansereau, Joe, &amp; Simpson, 1993; Dees, Dansereau, &amp; Simpson, 1994).  </w:t>
      </w:r>
      <w:r w:rsidR="005F7761">
        <w:rPr>
          <w:rFonts w:cstheme="minorHAnsi"/>
        </w:rPr>
        <w:t>A</w:t>
      </w:r>
      <w:r w:rsidR="005F7761" w:rsidRPr="00723575">
        <w:rPr>
          <w:rFonts w:cstheme="minorHAnsi"/>
        </w:rPr>
        <w:t xml:space="preserve"> conceptual overview of this approach is published in </w:t>
      </w:r>
      <w:r w:rsidR="005F7761" w:rsidRPr="00723575">
        <w:rPr>
          <w:rFonts w:cstheme="minorHAnsi"/>
          <w:i/>
        </w:rPr>
        <w:t>Professional Psychology: Research and Practice</w:t>
      </w:r>
      <w:r w:rsidR="005F7761" w:rsidRPr="00723575">
        <w:rPr>
          <w:rFonts w:cstheme="minorHAnsi"/>
        </w:rPr>
        <w:t xml:space="preserve"> (Dansereau &amp; Simpson, 2009)</w:t>
      </w:r>
      <w:r w:rsidR="00B200C5">
        <w:rPr>
          <w:rFonts w:cstheme="minorHAnsi"/>
        </w:rPr>
        <w:t xml:space="preserve">. </w:t>
      </w:r>
      <w:r w:rsidR="005F7761">
        <w:rPr>
          <w:rFonts w:cstheme="minorHAnsi"/>
        </w:rPr>
        <w:t xml:space="preserve"> </w:t>
      </w:r>
      <w:r w:rsidR="00B200C5" w:rsidRPr="00B200C5">
        <w:rPr>
          <w:rFonts w:cstheme="minorHAnsi"/>
        </w:rPr>
        <w:t>I</w:t>
      </w:r>
      <w:r w:rsidR="005F7761" w:rsidRPr="00B200C5">
        <w:rPr>
          <w:rFonts w:cstheme="minorHAnsi"/>
        </w:rPr>
        <w:t>t has proven to be an</w:t>
      </w:r>
      <w:r w:rsidR="005F7761" w:rsidRPr="00723575">
        <w:rPr>
          <w:rFonts w:cstheme="minorHAnsi"/>
        </w:rPr>
        <w:t xml:space="preserve"> effective strategy for increasing client motivation, engagement, participation, and retention in treatment by promoting more positive interactions with other clients and treatment staff.  It facilitates communication, memory, and problem-solving during counseling sessions, and also helps document progress both within and across sessions </w:t>
      </w:r>
      <w:r w:rsidR="005F7761" w:rsidRPr="00723575">
        <w:rPr>
          <w:rFonts w:cstheme="minorHAnsi"/>
          <w:color w:val="000000"/>
          <w:spacing w:val="3"/>
        </w:rPr>
        <w:t>(see Dansereau, 2005, for a review).</w:t>
      </w:r>
      <w:r w:rsidR="005F7761">
        <w:rPr>
          <w:rFonts w:cstheme="minorHAnsi"/>
          <w:color w:val="FF0000"/>
        </w:rPr>
        <w:t xml:space="preserve">  </w:t>
      </w:r>
      <w:r w:rsidR="005F7761" w:rsidRPr="00723575">
        <w:rPr>
          <w:rFonts w:cstheme="minorHAnsi"/>
        </w:rPr>
        <w:t xml:space="preserve">Mapping approaches </w:t>
      </w:r>
      <w:r w:rsidR="005F7761" w:rsidRPr="00723575">
        <w:rPr>
          <w:rFonts w:cstheme="minorHAnsi"/>
          <w:color w:val="000000"/>
          <w:spacing w:val="3"/>
        </w:rPr>
        <w:t>have been shown to help clients and counselors examine treatment-related issues (Dansereau &amp; Dees, 2002; Newbern, Dansereau, Czuchry, &amp; Simpson, 2005), and they have been incorporated into a series of effective modular interventions that cover specific counseling topics such as motivation and communication (Bartholomew, Hiller, Knight, Nucatola, &amp; Simpson, 2000)</w:t>
      </w:r>
      <w:r w:rsidR="00B200C5">
        <w:rPr>
          <w:rFonts w:cstheme="minorHAnsi"/>
          <w:color w:val="000000"/>
          <w:spacing w:val="3"/>
        </w:rPr>
        <w:t>.</w:t>
      </w:r>
      <w:r w:rsidR="005F7761">
        <w:rPr>
          <w:rFonts w:cstheme="minorHAnsi"/>
          <w:color w:val="000000"/>
          <w:spacing w:val="3"/>
        </w:rPr>
        <w:t xml:space="preserve">  </w:t>
      </w:r>
      <w:r w:rsidR="005F7761" w:rsidRPr="00723575">
        <w:rPr>
          <w:rFonts w:cstheme="minorHAnsi"/>
          <w:color w:val="000000"/>
          <w:spacing w:val="3"/>
        </w:rPr>
        <w:t xml:space="preserve">Further, studies of ethnically diverse adult clients and their counselors working collaboratively using mapping provide evidence for their efficacy when compared to typical counseling methods (see Dansereau &amp; Dees, 2002; Czuchry &amp; Dansereau, 2000; 2003). </w:t>
      </w:r>
      <w:r w:rsidR="00213633">
        <w:rPr>
          <w:rFonts w:cstheme="minorHAnsi"/>
          <w:color w:val="000000"/>
          <w:spacing w:val="3"/>
        </w:rPr>
        <w:t xml:space="preserve"> </w:t>
      </w:r>
      <w:r w:rsidR="005F7761" w:rsidRPr="00723575">
        <w:rPr>
          <w:rFonts w:cstheme="minorHAnsi"/>
        </w:rPr>
        <w:t>The approach has been particularly helpful for clients with less education (Pitre, Dansereau, &amp; Joe, 1996), for African Americans and Mexican Americans (Dansereau, Joe, Dees, &amp; Simpson, 1996), for more difficult clients such as those with multiple drug use history and with attention problems (Czuchry, Dansereau, Dees, &amp; Simpson, 1995; Dansereau, Joe, &amp; Simpson, 1995; Joe, Dansereau, &amp; Simpson, 1994), and is particularly effective for group counseling (Dansereau, Dees, Greener, &amp; Simpson, 1995; Knight, Dansereau, Joe, &amp; Simpson, 1994).</w:t>
      </w:r>
      <w:r w:rsidR="00650672">
        <w:rPr>
          <w:rFonts w:cstheme="minorHAnsi"/>
        </w:rPr>
        <w:t xml:space="preserve">  </w:t>
      </w:r>
      <w:r w:rsidR="005F7761" w:rsidRPr="005F355B">
        <w:rPr>
          <w:rFonts w:cstheme="minorHAnsi"/>
        </w:rPr>
        <w:t xml:space="preserve">This counseling aid </w:t>
      </w:r>
      <w:r w:rsidR="00723575" w:rsidRPr="00723575">
        <w:rPr>
          <w:rFonts w:cstheme="minorHAnsi"/>
        </w:rPr>
        <w:t xml:space="preserve">is included in </w:t>
      </w:r>
      <w:r w:rsidR="00723575" w:rsidRPr="007104C6">
        <w:rPr>
          <w:rStyle w:val="Strong"/>
          <w:rFonts w:cstheme="minorHAnsi"/>
          <w:b w:val="0"/>
          <w:color w:val="auto"/>
        </w:rPr>
        <w:t>SAMHSA’s National Registry of Evidence-based Programs and Practices (NREPP)</w:t>
      </w:r>
      <w:r w:rsidR="005F7761">
        <w:rPr>
          <w:rStyle w:val="Strong"/>
          <w:rFonts w:cstheme="minorHAnsi"/>
          <w:b w:val="0"/>
          <w:color w:val="auto"/>
        </w:rPr>
        <w:t>.</w:t>
      </w:r>
    </w:p>
    <w:p w:rsidR="009E32D2" w:rsidRPr="00ED4E23" w:rsidRDefault="00ED4E23" w:rsidP="007140C1">
      <w:pPr>
        <w:pStyle w:val="NoSpacing"/>
        <w:spacing w:line="480" w:lineRule="auto"/>
        <w:rPr>
          <w:rFonts w:cstheme="minorHAnsi"/>
          <w:i/>
        </w:rPr>
      </w:pPr>
      <w:r w:rsidRPr="00ED4E23">
        <w:rPr>
          <w:rFonts w:cstheme="minorHAnsi"/>
          <w:i/>
        </w:rPr>
        <w:t xml:space="preserve">1.2. </w:t>
      </w:r>
      <w:r w:rsidR="009E32D2" w:rsidRPr="00ED4E23">
        <w:rPr>
          <w:rFonts w:cstheme="minorHAnsi"/>
          <w:i/>
        </w:rPr>
        <w:t>Hypotheses</w:t>
      </w:r>
    </w:p>
    <w:p w:rsidR="00EE7F45" w:rsidRPr="00723575" w:rsidRDefault="00111491" w:rsidP="00DF17CD">
      <w:pPr>
        <w:pStyle w:val="NoSpacing"/>
        <w:spacing w:line="480" w:lineRule="auto"/>
        <w:ind w:firstLine="720"/>
        <w:rPr>
          <w:rFonts w:cstheme="minorHAnsi"/>
        </w:rPr>
      </w:pPr>
      <w:r w:rsidRPr="00723575">
        <w:rPr>
          <w:rFonts w:cstheme="minorHAnsi"/>
        </w:rPr>
        <w:t xml:space="preserve">Offenders who complete the during-prison </w:t>
      </w:r>
      <w:r w:rsidRPr="00723575">
        <w:rPr>
          <w:rFonts w:cstheme="minorHAnsi"/>
          <w:i/>
          <w:iCs/>
        </w:rPr>
        <w:t>Waysafe</w:t>
      </w:r>
      <w:r w:rsidRPr="00723575">
        <w:rPr>
          <w:rFonts w:cstheme="minorHAnsi"/>
        </w:rPr>
        <w:t xml:space="preserve"> curriculum will report greater knowledge, self-confidence and motivation at post-test in the areas of teaching others like yourself about HIV/AIDS, </w:t>
      </w:r>
      <w:r w:rsidRPr="00723575">
        <w:rPr>
          <w:rFonts w:cstheme="minorHAnsi"/>
        </w:rPr>
        <w:lastRenderedPageBreak/>
        <w:t>managing risky sex and risky drug use, knowing what to do if exposed to HIV, and general life skills in planning their behavioral risk-reduction strategies fo</w:t>
      </w:r>
      <w:r w:rsidR="00B200C5">
        <w:rPr>
          <w:rFonts w:cstheme="minorHAnsi"/>
        </w:rPr>
        <w:t>r use during community re-entry</w:t>
      </w:r>
      <w:r w:rsidR="00B200C5" w:rsidRPr="00B200C5">
        <w:rPr>
          <w:rFonts w:cstheme="minorHAnsi"/>
        </w:rPr>
        <w:t xml:space="preserve"> </w:t>
      </w:r>
      <w:r w:rsidR="00B200C5" w:rsidRPr="00723575">
        <w:rPr>
          <w:rFonts w:cstheme="minorHAnsi"/>
        </w:rPr>
        <w:t xml:space="preserve">compared to offenders in </w:t>
      </w:r>
      <w:r w:rsidR="00B200C5">
        <w:t>treatment as usual (</w:t>
      </w:r>
      <w:r w:rsidR="00B200C5" w:rsidRPr="00723575">
        <w:rPr>
          <w:rFonts w:cstheme="minorHAnsi"/>
        </w:rPr>
        <w:t>TAU</w:t>
      </w:r>
      <w:r w:rsidR="00B200C5">
        <w:rPr>
          <w:rFonts w:cstheme="minorHAnsi"/>
        </w:rPr>
        <w:t>).</w:t>
      </w:r>
    </w:p>
    <w:p w:rsidR="009E32D2" w:rsidRPr="00723575" w:rsidRDefault="00ED4E23" w:rsidP="00ED4E23">
      <w:pPr>
        <w:pStyle w:val="NoSpacing"/>
        <w:spacing w:line="480" w:lineRule="auto"/>
        <w:rPr>
          <w:rFonts w:cstheme="minorHAnsi"/>
          <w:b/>
        </w:rPr>
      </w:pPr>
      <w:r>
        <w:rPr>
          <w:rFonts w:cstheme="minorHAnsi"/>
          <w:b/>
        </w:rPr>
        <w:t xml:space="preserve">2. </w:t>
      </w:r>
      <w:r w:rsidR="009E32D2" w:rsidRPr="00723575">
        <w:rPr>
          <w:rFonts w:cstheme="minorHAnsi"/>
          <w:b/>
        </w:rPr>
        <w:t>Methods</w:t>
      </w:r>
    </w:p>
    <w:p w:rsidR="00ED4E23" w:rsidRPr="00ED4E23" w:rsidRDefault="00ED4E23" w:rsidP="00ED4E23">
      <w:pPr>
        <w:pStyle w:val="NoSpacing"/>
        <w:spacing w:line="480" w:lineRule="auto"/>
        <w:rPr>
          <w:rFonts w:cstheme="minorHAnsi"/>
          <w:i/>
        </w:rPr>
      </w:pPr>
      <w:r w:rsidRPr="00ED4E23">
        <w:rPr>
          <w:rFonts w:cstheme="minorHAnsi"/>
          <w:i/>
        </w:rPr>
        <w:t xml:space="preserve">2.1. </w:t>
      </w:r>
      <w:r w:rsidR="004B725F" w:rsidRPr="00ED4E23">
        <w:rPr>
          <w:rFonts w:cstheme="minorHAnsi"/>
          <w:i/>
        </w:rPr>
        <w:t>WaySafe Intervention</w:t>
      </w:r>
    </w:p>
    <w:p w:rsidR="004B725F" w:rsidRDefault="004B725F" w:rsidP="00836B15">
      <w:pPr>
        <w:pStyle w:val="NoSpacing"/>
        <w:spacing w:line="480" w:lineRule="auto"/>
        <w:ind w:firstLine="720"/>
        <w:rPr>
          <w:rFonts w:cstheme="minorHAnsi"/>
        </w:rPr>
      </w:pPr>
      <w:r>
        <w:rPr>
          <w:rFonts w:cstheme="minorHAnsi"/>
        </w:rPr>
        <w:t xml:space="preserve">Each </w:t>
      </w:r>
      <w:r w:rsidR="007D02DB">
        <w:rPr>
          <w:rFonts w:cstheme="minorHAnsi"/>
        </w:rPr>
        <w:t xml:space="preserve">of the six </w:t>
      </w:r>
      <w:r w:rsidR="007D02DB" w:rsidRPr="007D02DB">
        <w:rPr>
          <w:rFonts w:cstheme="minorHAnsi"/>
          <w:i/>
        </w:rPr>
        <w:t>WaySafe</w:t>
      </w:r>
      <w:r w:rsidR="007D02DB">
        <w:rPr>
          <w:rFonts w:cstheme="minorHAnsi"/>
        </w:rPr>
        <w:t xml:space="preserve"> </w:t>
      </w:r>
      <w:r>
        <w:rPr>
          <w:rFonts w:cstheme="minorHAnsi"/>
        </w:rPr>
        <w:t>session</w:t>
      </w:r>
      <w:r w:rsidR="007D02DB">
        <w:rPr>
          <w:rFonts w:cstheme="minorHAnsi"/>
        </w:rPr>
        <w:t>s</w:t>
      </w:r>
      <w:r>
        <w:rPr>
          <w:rFonts w:cstheme="minorHAnsi"/>
        </w:rPr>
        <w:t xml:space="preserve"> </w:t>
      </w:r>
      <w:r w:rsidR="007D02DB">
        <w:rPr>
          <w:rFonts w:cstheme="minorHAnsi"/>
        </w:rPr>
        <w:t>are</w:t>
      </w:r>
      <w:r>
        <w:rPr>
          <w:rFonts w:cstheme="minorHAnsi"/>
        </w:rPr>
        <w:t xml:space="preserve"> designed to last for about one hour and sessions are typically conducted weekly.  Sessions are conducted with groups by a trained counselor and include a variety of group-based and participatory activities.  </w:t>
      </w:r>
      <w:r w:rsidRPr="00320F00">
        <w:rPr>
          <w:rFonts w:cstheme="minorHAnsi"/>
          <w:i/>
        </w:rPr>
        <w:t>WaySafe</w:t>
      </w:r>
      <w:r>
        <w:rPr>
          <w:rFonts w:cstheme="minorHAnsi"/>
        </w:rPr>
        <w:t xml:space="preserve"> works best in closed group settings of between 10 and 20 participants</w:t>
      </w:r>
      <w:r w:rsidR="00213633">
        <w:rPr>
          <w:rFonts w:cstheme="minorHAnsi"/>
        </w:rPr>
        <w:t xml:space="preserve"> as</w:t>
      </w:r>
      <w:r>
        <w:rPr>
          <w:rFonts w:cstheme="minorHAnsi"/>
        </w:rPr>
        <w:t xml:space="preserve"> </w:t>
      </w:r>
      <w:r w:rsidR="00213633">
        <w:rPr>
          <w:rFonts w:cstheme="minorHAnsi"/>
        </w:rPr>
        <w:t>g</w:t>
      </w:r>
      <w:r>
        <w:rPr>
          <w:rFonts w:cstheme="minorHAnsi"/>
        </w:rPr>
        <w:t xml:space="preserve">roups smaller than 8-10 participants do not often get the necessary level of interaction and groups larger than 20 become difficult to manage in the one-hour time span.  Closed groups are recommended because each </w:t>
      </w:r>
      <w:r w:rsidR="00650672">
        <w:rPr>
          <w:rFonts w:cstheme="minorHAnsi"/>
        </w:rPr>
        <w:t xml:space="preserve">sequential </w:t>
      </w:r>
      <w:r>
        <w:rPr>
          <w:rFonts w:cstheme="minorHAnsi"/>
        </w:rPr>
        <w:t>session builds on previous sessions and due to the sensitive nature of some of the material, discussion can be inhibited when there are new group members every week.</w:t>
      </w:r>
      <w:r w:rsidR="00213633">
        <w:rPr>
          <w:rFonts w:cstheme="minorHAnsi"/>
        </w:rPr>
        <w:t xml:space="preserve"> </w:t>
      </w:r>
      <w:r>
        <w:rPr>
          <w:rFonts w:cstheme="minorHAnsi"/>
        </w:rPr>
        <w:t xml:space="preserve"> </w:t>
      </w:r>
      <w:r w:rsidRPr="007D63E8">
        <w:rPr>
          <w:rFonts w:cstheme="minorHAnsi"/>
          <w:i/>
        </w:rPr>
        <w:t>WaySafe</w:t>
      </w:r>
      <w:r>
        <w:rPr>
          <w:rFonts w:cstheme="minorHAnsi"/>
        </w:rPr>
        <w:t xml:space="preserve"> is designed to be administered by counselors who are involved in the treatment program.  </w:t>
      </w:r>
      <w:r w:rsidRPr="007D63E8">
        <w:rPr>
          <w:rFonts w:cstheme="minorHAnsi"/>
          <w:i/>
        </w:rPr>
        <w:t>WaySafe</w:t>
      </w:r>
      <w:r w:rsidR="00213633">
        <w:rPr>
          <w:rFonts w:cstheme="minorHAnsi"/>
        </w:rPr>
        <w:t xml:space="preserve"> materials include</w:t>
      </w:r>
      <w:r>
        <w:rPr>
          <w:rFonts w:cstheme="minorHAnsi"/>
        </w:rPr>
        <w:t xml:space="preserve"> an instructor’s manual </w:t>
      </w:r>
      <w:r w:rsidR="007D02DB">
        <w:rPr>
          <w:rFonts w:cstheme="minorHAnsi"/>
        </w:rPr>
        <w:t>with</w:t>
      </w:r>
      <w:r>
        <w:rPr>
          <w:rFonts w:cstheme="minorHAnsi"/>
        </w:rPr>
        <w:t xml:space="preserve"> directions for each of the six sessions, a participant self-paced workbook to be completed before each session, and handouts to be used during the sessions (including templates for different mapping exercises, game questions, answers and factoids, and vignettes</w:t>
      </w:r>
      <w:r w:rsidR="00B42136">
        <w:rPr>
          <w:rFonts w:cstheme="minorHAnsi"/>
        </w:rPr>
        <w:t>)</w:t>
      </w:r>
      <w:r>
        <w:rPr>
          <w:rFonts w:cstheme="minorHAnsi"/>
        </w:rPr>
        <w:t>.</w:t>
      </w:r>
    </w:p>
    <w:p w:rsidR="004B725F" w:rsidRDefault="004B725F" w:rsidP="00897CC8">
      <w:pPr>
        <w:pStyle w:val="NoSpacing"/>
        <w:spacing w:line="480" w:lineRule="auto"/>
        <w:ind w:firstLine="720"/>
        <w:rPr>
          <w:rFonts w:cstheme="minorHAnsi"/>
        </w:rPr>
      </w:pPr>
      <w:r>
        <w:rPr>
          <w:rFonts w:cstheme="minorHAnsi"/>
        </w:rPr>
        <w:t xml:space="preserve">Table </w:t>
      </w:r>
      <w:r w:rsidR="00836B15">
        <w:rPr>
          <w:rFonts w:cstheme="minorHAnsi"/>
        </w:rPr>
        <w:t>1</w:t>
      </w:r>
      <w:r>
        <w:rPr>
          <w:rFonts w:cstheme="minorHAnsi"/>
        </w:rPr>
        <w:t xml:space="preserve"> lists the six </w:t>
      </w:r>
      <w:r w:rsidR="007D02DB" w:rsidRPr="007D02DB">
        <w:rPr>
          <w:rFonts w:cstheme="minorHAnsi"/>
          <w:i/>
        </w:rPr>
        <w:t>WaySafe</w:t>
      </w:r>
      <w:r w:rsidR="007D02DB">
        <w:rPr>
          <w:rFonts w:cstheme="minorHAnsi"/>
        </w:rPr>
        <w:t xml:space="preserve"> </w:t>
      </w:r>
      <w:r>
        <w:rPr>
          <w:rFonts w:cstheme="minorHAnsi"/>
        </w:rPr>
        <w:t>sessions.  Prior to each session, participants are given a workbook to complete that provide</w:t>
      </w:r>
      <w:r w:rsidR="007D02DB">
        <w:rPr>
          <w:rFonts w:cstheme="minorHAnsi"/>
        </w:rPr>
        <w:t>s</w:t>
      </w:r>
      <w:r>
        <w:rPr>
          <w:rFonts w:cstheme="minorHAnsi"/>
        </w:rPr>
        <w:t xml:space="preserve"> an introduction and exercises related to the upcoming session.  The first participant workbook, </w:t>
      </w:r>
      <w:r w:rsidR="00650672">
        <w:rPr>
          <w:rFonts w:cstheme="minorHAnsi"/>
        </w:rPr>
        <w:t>preceeding</w:t>
      </w:r>
      <w:r>
        <w:rPr>
          <w:rFonts w:cstheme="minorHAnsi"/>
        </w:rPr>
        <w:t xml:space="preserve"> the first group session, includes an overview of mapping including different types of maps and how they are used, and an exercise for them to create their own maps.  The first group session, </w:t>
      </w:r>
      <w:r w:rsidRPr="002B2B1B">
        <w:rPr>
          <w:rFonts w:cstheme="minorHAnsi"/>
          <w:i/>
        </w:rPr>
        <w:t>Introduction to Mapping</w:t>
      </w:r>
      <w:r>
        <w:rPr>
          <w:rFonts w:cstheme="minorHAnsi"/>
        </w:rPr>
        <w:t xml:space="preserve"> gives an overview of </w:t>
      </w:r>
      <w:r w:rsidRPr="00430A29">
        <w:rPr>
          <w:rFonts w:cstheme="minorHAnsi"/>
          <w:i/>
        </w:rPr>
        <w:t>WaySafe</w:t>
      </w:r>
      <w:r>
        <w:rPr>
          <w:rFonts w:cstheme="minorHAnsi"/>
        </w:rPr>
        <w:t xml:space="preserve"> goals, an introduction to mapping as a communication tool, examples of different types of maps and how they might be used, and an exercise having participants working on group maps on topics related to relapse.  </w:t>
      </w:r>
    </w:p>
    <w:p w:rsidR="00897CC8" w:rsidRDefault="00897CC8" w:rsidP="007D02DB">
      <w:pPr>
        <w:pStyle w:val="NoSpacing"/>
        <w:keepNext/>
        <w:widowControl w:val="0"/>
        <w:pBdr>
          <w:top w:val="single" w:sz="4" w:space="1" w:color="auto"/>
        </w:pBdr>
        <w:ind w:left="2520" w:right="2520"/>
        <w:jc w:val="center"/>
        <w:rPr>
          <w:rFonts w:cstheme="minorHAnsi"/>
        </w:rPr>
      </w:pPr>
    </w:p>
    <w:p w:rsidR="00897CC8" w:rsidRDefault="00897CC8" w:rsidP="007D02DB">
      <w:pPr>
        <w:pStyle w:val="NoSpacing"/>
        <w:keepNext/>
        <w:widowControl w:val="0"/>
        <w:ind w:left="2520" w:right="2520"/>
        <w:jc w:val="center"/>
        <w:rPr>
          <w:rFonts w:cstheme="minorHAnsi"/>
        </w:rPr>
      </w:pPr>
      <w:r>
        <w:rPr>
          <w:rFonts w:cstheme="minorHAnsi"/>
        </w:rPr>
        <w:t>Insert Table 1 about here</w:t>
      </w:r>
    </w:p>
    <w:p w:rsidR="00897CC8" w:rsidRDefault="00897CC8" w:rsidP="007D02DB">
      <w:pPr>
        <w:pStyle w:val="NoSpacing"/>
        <w:keepLines/>
        <w:widowControl w:val="0"/>
        <w:pBdr>
          <w:bottom w:val="single" w:sz="4" w:space="1" w:color="auto"/>
        </w:pBdr>
        <w:ind w:left="2520" w:right="2520"/>
        <w:jc w:val="center"/>
        <w:rPr>
          <w:rFonts w:cstheme="minorHAnsi"/>
        </w:rPr>
      </w:pPr>
    </w:p>
    <w:p w:rsidR="004B725F" w:rsidRDefault="004B725F" w:rsidP="00897CC8">
      <w:pPr>
        <w:pStyle w:val="NoSpacing"/>
        <w:spacing w:before="240" w:line="480" w:lineRule="auto"/>
        <w:ind w:firstLine="720"/>
        <w:rPr>
          <w:rFonts w:cstheme="minorHAnsi"/>
        </w:rPr>
      </w:pPr>
      <w:r>
        <w:rPr>
          <w:rFonts w:cstheme="minorHAnsi"/>
        </w:rPr>
        <w:t xml:space="preserve">Session 2 covers </w:t>
      </w:r>
      <w:r w:rsidRPr="002B2B1B">
        <w:rPr>
          <w:rFonts w:cstheme="minorHAnsi"/>
          <w:i/>
        </w:rPr>
        <w:t>Risk and Reasons</w:t>
      </w:r>
      <w:r>
        <w:rPr>
          <w:rFonts w:cstheme="minorHAnsi"/>
        </w:rPr>
        <w:t xml:space="preserve"> which addresse</w:t>
      </w:r>
      <w:r w:rsidR="007D02DB">
        <w:rPr>
          <w:rFonts w:cstheme="minorHAnsi"/>
        </w:rPr>
        <w:t>s</w:t>
      </w:r>
      <w:r>
        <w:rPr>
          <w:rFonts w:cstheme="minorHAnsi"/>
        </w:rPr>
        <w:t xml:space="preserve"> reasons for risk taking.  The participant workbook includes information about strong positive and negative feelings and how they impact decision making and asks participants to complete guide maps on reasons for taking risks, reasons for not taking risks, and identifying risks in a sexual situation they might </w:t>
      </w:r>
      <w:r w:rsidR="00650672">
        <w:rPr>
          <w:rFonts w:cstheme="minorHAnsi"/>
        </w:rPr>
        <w:t>encounter</w:t>
      </w:r>
      <w:r>
        <w:rPr>
          <w:rFonts w:cstheme="minorHAnsi"/>
        </w:rPr>
        <w:t xml:space="preserve"> after they are released.  The group session focuses on defining risks and risk-taking using a group-based free map to record participant’s ideas, and then breaking into sub-groups to work on free maps around topics related to condom use such as reasons why people don’t use condoms, why they should, and an advertisement map for condoms listing their selling points.  These maps are then rotated between sub-groups to allow </w:t>
      </w:r>
      <w:r w:rsidR="00B42136">
        <w:rPr>
          <w:rFonts w:cstheme="minorHAnsi"/>
        </w:rPr>
        <w:t>each group to add to each map.</w:t>
      </w:r>
    </w:p>
    <w:p w:rsidR="004B725F" w:rsidRDefault="004B725F" w:rsidP="004B725F">
      <w:pPr>
        <w:pStyle w:val="NoSpacing"/>
        <w:spacing w:line="480" w:lineRule="auto"/>
        <w:ind w:firstLine="720"/>
        <w:rPr>
          <w:rFonts w:cstheme="minorHAnsi"/>
        </w:rPr>
      </w:pPr>
      <w:r>
        <w:rPr>
          <w:rFonts w:cstheme="minorHAnsi"/>
        </w:rPr>
        <w:t>Session 3 focuses on information about the transmittal and prevention of HIV.  The participant workbook includes information and fact sheets about HIV and ask</w:t>
      </w:r>
      <w:r w:rsidR="00650672">
        <w:rPr>
          <w:rFonts w:cstheme="minorHAnsi"/>
        </w:rPr>
        <w:t>s</w:t>
      </w:r>
      <w:r>
        <w:rPr>
          <w:rFonts w:cstheme="minorHAnsi"/>
        </w:rPr>
        <w:t xml:space="preserve"> participants to complete a crossword puzzle and a guide map utilizing information from the fact sheets and then a free map to be shared with the larger group on helping to explain important things to remember about HIV and the best plan for avoiding infection.  The group session centers around </w:t>
      </w:r>
      <w:r w:rsidRPr="00E8396B">
        <w:rPr>
          <w:rFonts w:cstheme="minorHAnsi"/>
          <w:i/>
        </w:rPr>
        <w:t>The Game</w:t>
      </w:r>
      <w:r>
        <w:rPr>
          <w:rFonts w:cstheme="minorHAnsi"/>
        </w:rPr>
        <w:t xml:space="preserve">, a team-based quiz game in which each of several teams must agree on a the best answer to a series of multiple choice questions about HIV.  After the correct answer is revealed for each question, a factoid relating to the question is presented.  </w:t>
      </w:r>
    </w:p>
    <w:p w:rsidR="004B725F" w:rsidRDefault="004B725F" w:rsidP="004B725F">
      <w:pPr>
        <w:pStyle w:val="NoSpacing"/>
        <w:spacing w:line="480" w:lineRule="auto"/>
        <w:ind w:firstLine="720"/>
        <w:rPr>
          <w:rFonts w:cstheme="minorHAnsi"/>
        </w:rPr>
      </w:pPr>
      <w:r>
        <w:rPr>
          <w:rFonts w:cstheme="minorHAnsi"/>
        </w:rPr>
        <w:t xml:space="preserve">Session 4 centers on the </w:t>
      </w:r>
      <w:r w:rsidRPr="00456149">
        <w:rPr>
          <w:rFonts w:cstheme="minorHAnsi"/>
          <w:i/>
        </w:rPr>
        <w:t>Should/Want Problem</w:t>
      </w:r>
      <w:r>
        <w:rPr>
          <w:rFonts w:cstheme="minorHAnsi"/>
        </w:rPr>
        <w:t>, helping participants distinguish between what they might want to do versus what they should do.  The participant workbook for this session includes guide maps asking participants to come up with situations in which “should” and “wants” might conflict and how to resolve those conflicts, things they should do in the future and “wants” that might interfere</w:t>
      </w:r>
      <w:r w:rsidR="002A6941">
        <w:rPr>
          <w:rFonts w:cstheme="minorHAnsi"/>
        </w:rPr>
        <w:t xml:space="preserve">.  A </w:t>
      </w:r>
      <w:r>
        <w:rPr>
          <w:rFonts w:cstheme="minorHAnsi"/>
        </w:rPr>
        <w:t xml:space="preserve">free map </w:t>
      </w:r>
      <w:r w:rsidR="002A6941">
        <w:rPr>
          <w:rFonts w:cstheme="minorHAnsi"/>
        </w:rPr>
        <w:t xml:space="preserve">is also developed </w:t>
      </w:r>
      <w:r>
        <w:rPr>
          <w:rFonts w:cstheme="minorHAnsi"/>
        </w:rPr>
        <w:t xml:space="preserve">on how “wants” might get in the way of safe sex and how “should” thoughts might help them be smarter about taking risks.  In the group session, a case study is presented </w:t>
      </w:r>
      <w:r>
        <w:rPr>
          <w:rFonts w:cstheme="minorHAnsi"/>
        </w:rPr>
        <w:lastRenderedPageBreak/>
        <w:t xml:space="preserve">about going to a party and being tempted by an old girl/boyfriend who has been with a lot of others. </w:t>
      </w:r>
      <w:r w:rsidR="002A6941">
        <w:rPr>
          <w:rFonts w:cstheme="minorHAnsi"/>
        </w:rPr>
        <w:t xml:space="preserve"> </w:t>
      </w:r>
      <w:r>
        <w:rPr>
          <w:rFonts w:cstheme="minorHAnsi"/>
        </w:rPr>
        <w:t xml:space="preserve">Some sub-groups are asked to produce maps on what they want to do and the other groups are asked to produce maps on what they should do.  After the maps are completed, a “want” group and a “should” group are paired and asked to present their maps to each other “debate” style.  A final free map is then created </w:t>
      </w:r>
      <w:r w:rsidR="002A6941">
        <w:rPr>
          <w:rFonts w:cstheme="minorHAnsi"/>
        </w:rPr>
        <w:t>by</w:t>
      </w:r>
      <w:r>
        <w:rPr>
          <w:rFonts w:cstheme="minorHAnsi"/>
        </w:rPr>
        <w:t xml:space="preserve"> the whole group that captures all of the “should” and “want” arguments.</w:t>
      </w:r>
    </w:p>
    <w:p w:rsidR="004B725F" w:rsidRDefault="004B725F" w:rsidP="004B725F">
      <w:pPr>
        <w:pStyle w:val="NoSpacing"/>
        <w:spacing w:line="480" w:lineRule="auto"/>
        <w:ind w:firstLine="720"/>
        <w:rPr>
          <w:rFonts w:cstheme="minorHAnsi"/>
        </w:rPr>
      </w:pPr>
      <w:r>
        <w:rPr>
          <w:rFonts w:cstheme="minorHAnsi"/>
        </w:rPr>
        <w:t xml:space="preserve">The fifth session focuses on </w:t>
      </w:r>
      <w:r w:rsidRPr="00895E6D">
        <w:rPr>
          <w:rFonts w:cstheme="minorHAnsi"/>
          <w:i/>
        </w:rPr>
        <w:t>Risk Scenes</w:t>
      </w:r>
      <w:r>
        <w:rPr>
          <w:rFonts w:cstheme="minorHAnsi"/>
        </w:rPr>
        <w:t xml:space="preserve"> which teaches the concepts of thinking about, planning, and rehearsing intentions regarding risk activities.  The participant workbook introduces ways to help people avoid risks by linking good intentions to behavior with the help of beliefs, such as believing that their intentions are important and make sense, believing that their intentions fit </w:t>
      </w:r>
      <w:r w:rsidR="002A6941">
        <w:rPr>
          <w:rFonts w:cstheme="minorHAnsi"/>
        </w:rPr>
        <w:t xml:space="preserve">their </w:t>
      </w:r>
      <w:r>
        <w:rPr>
          <w:rFonts w:cstheme="minorHAnsi"/>
        </w:rPr>
        <w:t>values, and believing that they are capable of carrying out their intentions.  Two guide maps are included that ask participants to list a risky sexual or drug use situation and then list what they need to be prepared.  A second map asks participants to list a risky situation and then list things they could say to talk their way out of the risky behavior.  The group session focuses on TPR – Thinking, Planning, and Rehearsing – and the importance of practicing following through on intentions.  Participants complete several guide maps during the session asking about their feelings in a scenario in which they have a baby that is HIV+ and describing a risk situation they may face in the future including listing options for keeping safe, possible roadblocks to their plans, planning ahead for the roadblocks and what they need to make sure they protect themselves.</w:t>
      </w:r>
    </w:p>
    <w:p w:rsidR="004B725F" w:rsidRDefault="004B725F" w:rsidP="004B725F">
      <w:pPr>
        <w:pStyle w:val="NoSpacing"/>
        <w:spacing w:line="480" w:lineRule="auto"/>
        <w:ind w:firstLine="720"/>
        <w:rPr>
          <w:rFonts w:cstheme="minorHAnsi"/>
        </w:rPr>
      </w:pPr>
      <w:r>
        <w:rPr>
          <w:rFonts w:cstheme="minorHAnsi"/>
        </w:rPr>
        <w:t xml:space="preserve">The final session, </w:t>
      </w:r>
      <w:r w:rsidRPr="00895E6D">
        <w:rPr>
          <w:rFonts w:cstheme="minorHAnsi"/>
          <w:i/>
        </w:rPr>
        <w:t>Planning for Risks</w:t>
      </w:r>
      <w:r>
        <w:rPr>
          <w:rFonts w:cstheme="minorHAnsi"/>
          <w:i/>
        </w:rPr>
        <w:t>,</w:t>
      </w:r>
      <w:r w:rsidRPr="0059796D">
        <w:rPr>
          <w:rFonts w:cstheme="minorHAnsi"/>
        </w:rPr>
        <w:t xml:space="preserve"> review</w:t>
      </w:r>
      <w:r>
        <w:rPr>
          <w:rFonts w:cstheme="minorHAnsi"/>
        </w:rPr>
        <w:t>s</w:t>
      </w:r>
      <w:r w:rsidRPr="0059796D">
        <w:rPr>
          <w:rFonts w:cstheme="minorHAnsi"/>
        </w:rPr>
        <w:t xml:space="preserve"> </w:t>
      </w:r>
      <w:r>
        <w:rPr>
          <w:rFonts w:cstheme="minorHAnsi"/>
        </w:rPr>
        <w:t>concepts covered in the first five sessions and reinforce</w:t>
      </w:r>
      <w:r w:rsidR="002A6941">
        <w:rPr>
          <w:rFonts w:cstheme="minorHAnsi"/>
        </w:rPr>
        <w:t>s</w:t>
      </w:r>
      <w:r>
        <w:rPr>
          <w:rFonts w:cstheme="minorHAnsi"/>
        </w:rPr>
        <w:t xml:space="preserve"> planning tools to maintain a focus on safety.  The participant workbook asks them to list choices they can make in regard to wanting to hook up with someone they didn’t really know and the positive and negative aspects of each choice.  A second guide map asks what type of situation could make the choice difficult to carry out, how they would respond to the situation and how their common sense, values</w:t>
      </w:r>
      <w:r w:rsidR="002A6941">
        <w:rPr>
          <w:rFonts w:cstheme="minorHAnsi"/>
        </w:rPr>
        <w:t xml:space="preserve">, </w:t>
      </w:r>
      <w:r>
        <w:rPr>
          <w:rFonts w:cstheme="minorHAnsi"/>
        </w:rPr>
        <w:t xml:space="preserve">beliefs, and strengths can help support positive intentions.  The group session includes </w:t>
      </w:r>
      <w:r>
        <w:rPr>
          <w:rFonts w:cstheme="minorHAnsi"/>
        </w:rPr>
        <w:lastRenderedPageBreak/>
        <w:t>activities in which participants were asked to imagine themselves in the future having avoided HIV or Hep B and C and asking them what advice they would send to their “present” self to avoid infection.</w:t>
      </w:r>
    </w:p>
    <w:p w:rsidR="00ED4E23" w:rsidRPr="00ED4E23" w:rsidRDefault="00ED4E23" w:rsidP="00ED4E23">
      <w:pPr>
        <w:spacing w:line="480" w:lineRule="auto"/>
        <w:rPr>
          <w:rFonts w:cstheme="minorHAnsi"/>
          <w:i/>
        </w:rPr>
      </w:pPr>
      <w:r w:rsidRPr="00ED4E23">
        <w:rPr>
          <w:rFonts w:cstheme="minorHAnsi"/>
          <w:i/>
        </w:rPr>
        <w:t xml:space="preserve">2.2 </w:t>
      </w:r>
      <w:r w:rsidR="00D81B46" w:rsidRPr="00ED4E23">
        <w:rPr>
          <w:rFonts w:cstheme="minorHAnsi"/>
          <w:i/>
        </w:rPr>
        <w:t>Procedure</w:t>
      </w:r>
    </w:p>
    <w:p w:rsidR="004B725F" w:rsidRDefault="004B725F" w:rsidP="00836B15">
      <w:pPr>
        <w:spacing w:line="480" w:lineRule="auto"/>
        <w:ind w:firstLine="720"/>
        <w:rPr>
          <w:rFonts w:cstheme="minorHAnsi"/>
          <w:b/>
        </w:rPr>
      </w:pPr>
      <w:r>
        <w:rPr>
          <w:rFonts w:cstheme="minorHAnsi"/>
        </w:rPr>
        <w:t xml:space="preserve">For the current study, counselors were trained in a </w:t>
      </w:r>
      <w:r w:rsidR="00B42136">
        <w:rPr>
          <w:rFonts w:cstheme="minorHAnsi"/>
        </w:rPr>
        <w:t>two</w:t>
      </w:r>
      <w:r>
        <w:rPr>
          <w:rFonts w:cstheme="minorHAnsi"/>
        </w:rPr>
        <w:t xml:space="preserve">-day training session that included an introduction to TCU Mapping, introduction to the </w:t>
      </w:r>
      <w:r w:rsidRPr="007D63E8">
        <w:rPr>
          <w:rFonts w:cstheme="minorHAnsi"/>
          <w:i/>
        </w:rPr>
        <w:t>WaySafe</w:t>
      </w:r>
      <w:r>
        <w:rPr>
          <w:rFonts w:cstheme="minorHAnsi"/>
        </w:rPr>
        <w:t xml:space="preserve"> materials and exercises, and data collection procedures for the research aspect of the project.  </w:t>
      </w:r>
    </w:p>
    <w:p w:rsidR="00D81B46" w:rsidRPr="00723575" w:rsidRDefault="00D81B46" w:rsidP="00723575">
      <w:pPr>
        <w:spacing w:line="480" w:lineRule="auto"/>
        <w:ind w:firstLine="720"/>
        <w:rPr>
          <w:rFonts w:cstheme="minorHAnsi"/>
        </w:rPr>
      </w:pPr>
      <w:r w:rsidRPr="00F64934">
        <w:rPr>
          <w:rFonts w:cstheme="minorHAnsi"/>
        </w:rPr>
        <w:t xml:space="preserve">Offenders </w:t>
      </w:r>
      <w:r w:rsidR="00F427C3" w:rsidRPr="00F64934">
        <w:rPr>
          <w:rFonts w:cstheme="minorHAnsi"/>
        </w:rPr>
        <w:t xml:space="preserve">who </w:t>
      </w:r>
      <w:r w:rsidR="00650672">
        <w:rPr>
          <w:rFonts w:cstheme="minorHAnsi"/>
        </w:rPr>
        <w:t>volunteered for</w:t>
      </w:r>
      <w:r w:rsidR="00A11CB8" w:rsidRPr="00F64934">
        <w:rPr>
          <w:rFonts w:cstheme="minorHAnsi"/>
        </w:rPr>
        <w:t xml:space="preserve"> the study sign</w:t>
      </w:r>
      <w:r w:rsidR="00650672">
        <w:rPr>
          <w:rFonts w:cstheme="minorHAnsi"/>
        </w:rPr>
        <w:t>ed</w:t>
      </w:r>
      <w:r w:rsidR="00A11CB8" w:rsidRPr="00F64934">
        <w:rPr>
          <w:rFonts w:cstheme="minorHAnsi"/>
        </w:rPr>
        <w:t xml:space="preserve"> Informed Consent documents </w:t>
      </w:r>
      <w:r w:rsidR="00650672">
        <w:rPr>
          <w:rFonts w:cstheme="minorHAnsi"/>
        </w:rPr>
        <w:t xml:space="preserve">and </w:t>
      </w:r>
      <w:r w:rsidR="00A11CB8" w:rsidRPr="00F64934">
        <w:rPr>
          <w:rFonts w:cstheme="minorHAnsi"/>
        </w:rPr>
        <w:t xml:space="preserve">were </w:t>
      </w:r>
      <w:r w:rsidRPr="00F64934">
        <w:rPr>
          <w:rFonts w:cstheme="minorHAnsi"/>
        </w:rPr>
        <w:t xml:space="preserve">randomly assigned to attend six weekly </w:t>
      </w:r>
      <w:r w:rsidRPr="00F64934">
        <w:rPr>
          <w:rFonts w:cstheme="minorHAnsi"/>
          <w:i/>
        </w:rPr>
        <w:t>WaySafe</w:t>
      </w:r>
      <w:r w:rsidRPr="00F64934">
        <w:rPr>
          <w:rFonts w:cstheme="minorHAnsi"/>
        </w:rPr>
        <w:t xml:space="preserve"> sessions or TAU in which they </w:t>
      </w:r>
      <w:r w:rsidR="00A11CB8" w:rsidRPr="00F64934">
        <w:rPr>
          <w:rFonts w:cstheme="minorHAnsi"/>
        </w:rPr>
        <w:t xml:space="preserve">attended their regularly scheduled programming.  </w:t>
      </w:r>
      <w:r w:rsidRPr="00F64934">
        <w:rPr>
          <w:rFonts w:cstheme="minorHAnsi"/>
        </w:rPr>
        <w:t xml:space="preserve">All participating offenders were asked to complete a 92-item pre-test survey approximately one week prior to the beginning of </w:t>
      </w:r>
      <w:r w:rsidRPr="00F64934">
        <w:rPr>
          <w:rFonts w:cstheme="minorHAnsi"/>
          <w:i/>
        </w:rPr>
        <w:t>WaySafe</w:t>
      </w:r>
      <w:r w:rsidRPr="00F64934">
        <w:rPr>
          <w:rFonts w:cstheme="minorHAnsi"/>
        </w:rPr>
        <w:t xml:space="preserve"> sessions and a post-test survey one week after the end of </w:t>
      </w:r>
      <w:r w:rsidRPr="00F64934">
        <w:rPr>
          <w:rFonts w:cstheme="minorHAnsi"/>
          <w:i/>
        </w:rPr>
        <w:t>WaySafe</w:t>
      </w:r>
      <w:r w:rsidRPr="00F64934">
        <w:rPr>
          <w:rFonts w:cstheme="minorHAnsi"/>
        </w:rPr>
        <w:t xml:space="preserve"> sessions.  </w:t>
      </w:r>
      <w:r w:rsidR="00F64934" w:rsidRPr="00F64934">
        <w:rPr>
          <w:rFonts w:cstheme="minorHAnsi"/>
        </w:rPr>
        <w:t>Of the 1,393 participants</w:t>
      </w:r>
      <w:r w:rsidR="00F64934">
        <w:rPr>
          <w:rFonts w:cstheme="minorHAnsi"/>
        </w:rPr>
        <w:t xml:space="preserve"> </w:t>
      </w:r>
      <w:r w:rsidR="00F64934" w:rsidRPr="00F64934">
        <w:rPr>
          <w:rFonts w:cstheme="minorHAnsi"/>
        </w:rPr>
        <w:t>completi</w:t>
      </w:r>
      <w:r w:rsidR="002A6941">
        <w:rPr>
          <w:rFonts w:cstheme="minorHAnsi"/>
        </w:rPr>
        <w:t>n</w:t>
      </w:r>
      <w:r w:rsidR="00F64934" w:rsidRPr="00F64934">
        <w:rPr>
          <w:rFonts w:cstheme="minorHAnsi"/>
        </w:rPr>
        <w:t xml:space="preserve">g the pre-test, 736 were </w:t>
      </w:r>
      <w:r w:rsidR="00F64934">
        <w:rPr>
          <w:rFonts w:cstheme="minorHAnsi"/>
        </w:rPr>
        <w:t xml:space="preserve">randomly </w:t>
      </w:r>
      <w:r w:rsidR="00F64934" w:rsidRPr="00F64934">
        <w:rPr>
          <w:rFonts w:cstheme="minorHAnsi"/>
        </w:rPr>
        <w:t xml:space="preserve">assigned to the </w:t>
      </w:r>
      <w:r w:rsidR="00F64934" w:rsidRPr="00F64934">
        <w:rPr>
          <w:rFonts w:cstheme="minorHAnsi"/>
          <w:i/>
        </w:rPr>
        <w:t>WaySafe</w:t>
      </w:r>
      <w:r w:rsidR="00F64934" w:rsidRPr="00F64934">
        <w:rPr>
          <w:rFonts w:cstheme="minorHAnsi"/>
        </w:rPr>
        <w:t xml:space="preserve"> condition and 657 to TAU.  In some facilities, random assignments were done by groups of offenders </w:t>
      </w:r>
      <w:r w:rsidR="002A6941" w:rsidRPr="00F64934">
        <w:rPr>
          <w:rFonts w:cstheme="minorHAnsi"/>
        </w:rPr>
        <w:t>(e.g., pods or cell wings)</w:t>
      </w:r>
      <w:r w:rsidR="002A6941">
        <w:rPr>
          <w:rFonts w:cstheme="minorHAnsi"/>
        </w:rPr>
        <w:t xml:space="preserve"> </w:t>
      </w:r>
      <w:r w:rsidR="00F64934" w:rsidRPr="00F64934">
        <w:rPr>
          <w:rFonts w:cstheme="minorHAnsi"/>
        </w:rPr>
        <w:t xml:space="preserve">due to scheduling constraints, which accounted for the somewhat larger </w:t>
      </w:r>
      <w:r w:rsidR="00F64934" w:rsidRPr="00F64934">
        <w:rPr>
          <w:rFonts w:cstheme="minorHAnsi"/>
          <w:i/>
        </w:rPr>
        <w:t>WaySafe</w:t>
      </w:r>
      <w:r w:rsidR="00F64934" w:rsidRPr="00F64934">
        <w:rPr>
          <w:rFonts w:cstheme="minorHAnsi"/>
        </w:rPr>
        <w:t xml:space="preserve"> sample.  As shown below, </w:t>
      </w:r>
      <w:r w:rsidR="00F64934" w:rsidRPr="00F64934">
        <w:rPr>
          <w:rFonts w:cstheme="minorHAnsi"/>
          <w:i/>
        </w:rPr>
        <w:t>WaySafe</w:t>
      </w:r>
      <w:r w:rsidR="00F64934" w:rsidRPr="00F64934">
        <w:rPr>
          <w:rFonts w:cstheme="minorHAnsi"/>
        </w:rPr>
        <w:t xml:space="preserve"> and TAU did not differ significantly on demographic characteristics other than race and </w:t>
      </w:r>
      <w:r w:rsidR="00F64934">
        <w:rPr>
          <w:rFonts w:cstheme="minorHAnsi"/>
        </w:rPr>
        <w:t>did not differ on pre-test measures.</w:t>
      </w:r>
      <w:r w:rsidR="00F64934" w:rsidRPr="00F64934">
        <w:rPr>
          <w:rFonts w:cstheme="minorHAnsi"/>
        </w:rPr>
        <w:t xml:space="preserve">  </w:t>
      </w:r>
      <w:r w:rsidRPr="00F64934">
        <w:rPr>
          <w:rFonts w:cstheme="minorHAnsi"/>
        </w:rPr>
        <w:t xml:space="preserve">All participants who completed pre- and post-test surveys received a Certificate of Completion. </w:t>
      </w:r>
      <w:r w:rsidR="00DF17CD" w:rsidRPr="00F64934">
        <w:rPr>
          <w:rFonts w:cstheme="minorHAnsi"/>
        </w:rPr>
        <w:t xml:space="preserve"> </w:t>
      </w:r>
      <w:r w:rsidR="005F0893" w:rsidRPr="00F64934">
        <w:rPr>
          <w:rFonts w:cstheme="minorHAnsi"/>
        </w:rPr>
        <w:t>The final analysis sample consist</w:t>
      </w:r>
      <w:r w:rsidR="00105488" w:rsidRPr="00F64934">
        <w:rPr>
          <w:rFonts w:cstheme="minorHAnsi"/>
        </w:rPr>
        <w:t>ed</w:t>
      </w:r>
      <w:r w:rsidR="005F0893" w:rsidRPr="00F64934">
        <w:rPr>
          <w:rFonts w:cstheme="minorHAnsi"/>
        </w:rPr>
        <w:t xml:space="preserve"> of </w:t>
      </w:r>
      <w:r w:rsidR="00B41813" w:rsidRPr="00F64934">
        <w:rPr>
          <w:rFonts w:cstheme="minorHAnsi"/>
        </w:rPr>
        <w:t>1,2</w:t>
      </w:r>
      <w:r w:rsidR="005F0893" w:rsidRPr="00F64934">
        <w:rPr>
          <w:rFonts w:cstheme="minorHAnsi"/>
        </w:rPr>
        <w:t>57</w:t>
      </w:r>
      <w:r w:rsidR="00B41813" w:rsidRPr="00F64934">
        <w:rPr>
          <w:rFonts w:cstheme="minorHAnsi"/>
        </w:rPr>
        <w:t xml:space="preserve"> participants </w:t>
      </w:r>
      <w:r w:rsidR="005F0893" w:rsidRPr="00F64934">
        <w:rPr>
          <w:rFonts w:cstheme="minorHAnsi"/>
        </w:rPr>
        <w:t xml:space="preserve">who </w:t>
      </w:r>
      <w:r w:rsidR="00B41813" w:rsidRPr="00F64934">
        <w:rPr>
          <w:rFonts w:cstheme="minorHAnsi"/>
        </w:rPr>
        <w:t xml:space="preserve">completed the </w:t>
      </w:r>
      <w:r w:rsidR="005F0893" w:rsidRPr="00F64934">
        <w:rPr>
          <w:rFonts w:cstheme="minorHAnsi"/>
        </w:rPr>
        <w:t xml:space="preserve">pre-test and the </w:t>
      </w:r>
      <w:r w:rsidR="00B41813" w:rsidRPr="00F64934">
        <w:rPr>
          <w:rFonts w:cstheme="minorHAnsi"/>
        </w:rPr>
        <w:t>post-test</w:t>
      </w:r>
      <w:r w:rsidR="00B11536" w:rsidRPr="00F64934">
        <w:rPr>
          <w:rFonts w:cstheme="minorHAnsi"/>
        </w:rPr>
        <w:t xml:space="preserve"> surveys</w:t>
      </w:r>
      <w:r w:rsidR="005F0893" w:rsidRPr="00F64934">
        <w:rPr>
          <w:rFonts w:cstheme="minorHAnsi"/>
        </w:rPr>
        <w:t xml:space="preserve">; of these 653 were in the </w:t>
      </w:r>
      <w:r w:rsidR="005F0893" w:rsidRPr="00F64934">
        <w:rPr>
          <w:rFonts w:cstheme="minorHAnsi"/>
          <w:i/>
        </w:rPr>
        <w:t>WaySafe</w:t>
      </w:r>
      <w:r w:rsidR="005F0893" w:rsidRPr="00F64934">
        <w:rPr>
          <w:rFonts w:cstheme="minorHAnsi"/>
        </w:rPr>
        <w:t xml:space="preserve"> condition and 604 in TAU.</w:t>
      </w:r>
      <w:r w:rsidR="00725492" w:rsidRPr="00F64934">
        <w:rPr>
          <w:rFonts w:cstheme="minorHAnsi"/>
        </w:rPr>
        <w:t xml:space="preserve">  The number of participants in the analysis sample from each of the eight facilities ranged from 77 to 227.</w:t>
      </w:r>
    </w:p>
    <w:p w:rsidR="00ED4E23" w:rsidRPr="00ED4E23" w:rsidRDefault="00ED4E23" w:rsidP="00ED4E23">
      <w:pPr>
        <w:pStyle w:val="NoSpacing"/>
        <w:spacing w:line="480" w:lineRule="auto"/>
        <w:rPr>
          <w:rFonts w:cstheme="minorHAnsi"/>
          <w:i/>
        </w:rPr>
      </w:pPr>
      <w:r w:rsidRPr="00ED4E23">
        <w:rPr>
          <w:rFonts w:cstheme="minorHAnsi"/>
          <w:i/>
        </w:rPr>
        <w:t xml:space="preserve">2.3. </w:t>
      </w:r>
      <w:r w:rsidR="009E32D2" w:rsidRPr="00ED4E23">
        <w:rPr>
          <w:rFonts w:cstheme="minorHAnsi"/>
          <w:i/>
        </w:rPr>
        <w:t>Measures</w:t>
      </w:r>
    </w:p>
    <w:p w:rsidR="00DF17CD" w:rsidRDefault="00A518FF" w:rsidP="00723575">
      <w:pPr>
        <w:pStyle w:val="NoSpacing"/>
        <w:spacing w:line="480" w:lineRule="auto"/>
        <w:ind w:firstLine="720"/>
        <w:rPr>
          <w:rFonts w:cstheme="minorHAnsi"/>
        </w:rPr>
      </w:pPr>
      <w:r w:rsidRPr="00723575">
        <w:rPr>
          <w:rFonts w:cstheme="minorHAnsi"/>
        </w:rPr>
        <w:t xml:space="preserve">Pre- and post-test </w:t>
      </w:r>
      <w:r w:rsidR="001064DA" w:rsidRPr="00723575">
        <w:rPr>
          <w:rFonts w:cstheme="minorHAnsi"/>
        </w:rPr>
        <w:t>surveys</w:t>
      </w:r>
      <w:r w:rsidRPr="00723575">
        <w:rPr>
          <w:rFonts w:cstheme="minorHAnsi"/>
        </w:rPr>
        <w:t xml:space="preserve"> were developed to assess knowledge, confidence, and motivation around domains that the </w:t>
      </w:r>
      <w:r w:rsidRPr="00723575">
        <w:rPr>
          <w:rFonts w:cstheme="minorHAnsi"/>
          <w:i/>
        </w:rPr>
        <w:t>WaySafe</w:t>
      </w:r>
      <w:r w:rsidRPr="00723575">
        <w:rPr>
          <w:rFonts w:cstheme="minorHAnsi"/>
        </w:rPr>
        <w:t xml:space="preserve"> curriculum addressed.  </w:t>
      </w:r>
      <w:r w:rsidR="002A2C57" w:rsidRPr="00723575">
        <w:rPr>
          <w:rFonts w:cstheme="minorHAnsi"/>
        </w:rPr>
        <w:t xml:space="preserve">These included HIV Knowledge, Avoiding Risky Sex, Avoiding Risky Drug Use, HIV Testing and Services, and Risk Reduction Skills.  Within each of these five domains, items were constructed to assess the inmate’s self-report of feeling knowledgeable about </w:t>
      </w:r>
      <w:r w:rsidR="002A2C57" w:rsidRPr="00723575">
        <w:rPr>
          <w:rFonts w:cstheme="minorHAnsi"/>
        </w:rPr>
        <w:lastRenderedPageBreak/>
        <w:t>the domain, feeling confident in using that knowledge, and being motivated to act on that knowledge (only knowledge and motivation items were included for the HIV Testing and Services domain).  Factor analyses of the items showed that the knowledge, confidence, and motivation items within each domain generally loaded together</w:t>
      </w:r>
      <w:r w:rsidR="00B11536">
        <w:rPr>
          <w:rFonts w:cstheme="minorHAnsi"/>
        </w:rPr>
        <w:t>,</w:t>
      </w:r>
      <w:r w:rsidR="002A2C57" w:rsidRPr="00723575">
        <w:rPr>
          <w:rFonts w:cstheme="minorHAnsi"/>
        </w:rPr>
        <w:t xml:space="preserve"> so </w:t>
      </w:r>
      <w:r w:rsidR="007C2021" w:rsidRPr="00723575">
        <w:rPr>
          <w:rFonts w:cstheme="minorHAnsi"/>
        </w:rPr>
        <w:t xml:space="preserve">five scales were computed representing knowledge, confidence and motivation around each of the domains.  </w:t>
      </w:r>
      <w:r w:rsidR="001064DA" w:rsidRPr="00723575">
        <w:rPr>
          <w:rFonts w:cstheme="minorHAnsi"/>
        </w:rPr>
        <w:t>Seven i</w:t>
      </w:r>
      <w:r w:rsidR="007C2021" w:rsidRPr="00723575">
        <w:rPr>
          <w:rFonts w:cstheme="minorHAnsi"/>
        </w:rPr>
        <w:t xml:space="preserve">tems with factor loadings below 0.40 were </w:t>
      </w:r>
      <w:r w:rsidR="001064DA" w:rsidRPr="00723575">
        <w:rPr>
          <w:rFonts w:cstheme="minorHAnsi"/>
        </w:rPr>
        <w:t xml:space="preserve">not included in any of the </w:t>
      </w:r>
      <w:r w:rsidR="007C2021" w:rsidRPr="00723575">
        <w:rPr>
          <w:rFonts w:cstheme="minorHAnsi"/>
        </w:rPr>
        <w:t xml:space="preserve">scales.  </w:t>
      </w:r>
      <w:r w:rsidR="00DF17CD">
        <w:rPr>
          <w:rFonts w:cstheme="minorHAnsi"/>
        </w:rPr>
        <w:t xml:space="preserve">Brief scale descriptions as well as pre-and post-test reliabilities are shown in Table </w:t>
      </w:r>
      <w:r w:rsidR="00836B15">
        <w:rPr>
          <w:rFonts w:cstheme="minorHAnsi"/>
        </w:rPr>
        <w:t>2</w:t>
      </w:r>
      <w:r w:rsidR="00DF17CD">
        <w:rPr>
          <w:rFonts w:cstheme="minorHAnsi"/>
        </w:rPr>
        <w:t>.</w:t>
      </w:r>
    </w:p>
    <w:p w:rsidR="000B4C99" w:rsidRDefault="000B4C99" w:rsidP="000B4C99">
      <w:pPr>
        <w:pStyle w:val="NoSpacing"/>
        <w:keepLines/>
        <w:pBdr>
          <w:top w:val="single" w:sz="4" w:space="1" w:color="auto"/>
        </w:pBdr>
        <w:ind w:left="2520" w:right="2520"/>
        <w:jc w:val="center"/>
        <w:rPr>
          <w:rFonts w:cstheme="minorHAnsi"/>
        </w:rPr>
      </w:pPr>
    </w:p>
    <w:p w:rsidR="000B4C99" w:rsidRDefault="009D05FD" w:rsidP="000B4C99">
      <w:pPr>
        <w:pStyle w:val="NoSpacing"/>
        <w:keepLines/>
        <w:ind w:left="2520" w:right="2520"/>
        <w:jc w:val="center"/>
        <w:rPr>
          <w:rFonts w:cstheme="minorHAnsi"/>
        </w:rPr>
      </w:pPr>
      <w:r>
        <w:rPr>
          <w:rFonts w:cstheme="minorHAnsi"/>
        </w:rPr>
        <w:t xml:space="preserve">Insert Table </w:t>
      </w:r>
      <w:r w:rsidR="00836B15">
        <w:rPr>
          <w:rFonts w:cstheme="minorHAnsi"/>
        </w:rPr>
        <w:t>2</w:t>
      </w:r>
      <w:r w:rsidR="000B4C99">
        <w:rPr>
          <w:rFonts w:cstheme="minorHAnsi"/>
        </w:rPr>
        <w:t xml:space="preserve"> about here</w:t>
      </w:r>
    </w:p>
    <w:p w:rsidR="000B4C99" w:rsidRDefault="000B4C99" w:rsidP="000B4C99">
      <w:pPr>
        <w:pStyle w:val="NoSpacing"/>
        <w:keepLines/>
        <w:ind w:left="2520" w:right="2520"/>
        <w:jc w:val="center"/>
        <w:rPr>
          <w:rFonts w:cstheme="minorHAnsi"/>
        </w:rPr>
      </w:pPr>
    </w:p>
    <w:p w:rsidR="000B4C99" w:rsidRDefault="000B4C99" w:rsidP="000B4C99">
      <w:pPr>
        <w:pStyle w:val="NoSpacing"/>
        <w:keepLines/>
        <w:pBdr>
          <w:top w:val="single" w:sz="4" w:space="1" w:color="auto"/>
        </w:pBdr>
        <w:ind w:left="2520" w:right="2520"/>
        <w:jc w:val="center"/>
        <w:rPr>
          <w:rFonts w:cstheme="minorHAnsi"/>
        </w:rPr>
      </w:pPr>
    </w:p>
    <w:p w:rsidR="00DF17CD" w:rsidRPr="00723575" w:rsidRDefault="00DF17CD" w:rsidP="00DF17CD">
      <w:pPr>
        <w:pStyle w:val="NoSpacing"/>
        <w:spacing w:line="480" w:lineRule="auto"/>
        <w:ind w:firstLine="720"/>
        <w:rPr>
          <w:rFonts w:cstheme="minorHAnsi"/>
        </w:rPr>
      </w:pPr>
      <w:r w:rsidRPr="00723575">
        <w:rPr>
          <w:rFonts w:cstheme="minorHAnsi"/>
        </w:rPr>
        <w:t>The post-test measures were identical to the pre-test.</w:t>
      </w:r>
      <w:r>
        <w:rPr>
          <w:rFonts w:cstheme="minorHAnsi"/>
        </w:rPr>
        <w:t xml:space="preserve">  </w:t>
      </w:r>
      <w:r w:rsidRPr="00723575">
        <w:rPr>
          <w:rFonts w:cstheme="minorHAnsi"/>
        </w:rPr>
        <w:t xml:space="preserve">Responses for all items were on a 5-point Likert scale with 1 = </w:t>
      </w:r>
      <w:r w:rsidR="004B529A">
        <w:rPr>
          <w:rFonts w:cstheme="minorHAnsi"/>
        </w:rPr>
        <w:t xml:space="preserve">Disagree </w:t>
      </w:r>
      <w:r w:rsidRPr="00723575">
        <w:rPr>
          <w:rFonts w:cstheme="minorHAnsi"/>
        </w:rPr>
        <w:t xml:space="preserve">Strongly and 5 = </w:t>
      </w:r>
      <w:r w:rsidR="004B529A">
        <w:rPr>
          <w:rFonts w:cstheme="minorHAnsi"/>
        </w:rPr>
        <w:t xml:space="preserve">Agree </w:t>
      </w:r>
      <w:r w:rsidRPr="00723575">
        <w:rPr>
          <w:rFonts w:cstheme="minorHAnsi"/>
        </w:rPr>
        <w:t xml:space="preserve">Strongly.  Scale scores were computed by averaging the items within the scale and then multiplying by 10, resulting in a score range from 10 to 50.  Scores above 30 indicated at least some agreement on average with the scale construct and scores below 30 indicated at least some disagreement on average with the scale construct.  </w:t>
      </w:r>
    </w:p>
    <w:p w:rsidR="0004325A" w:rsidRPr="0004325A" w:rsidRDefault="00DB091E" w:rsidP="00723575">
      <w:pPr>
        <w:pStyle w:val="NoSpacing"/>
        <w:spacing w:line="480" w:lineRule="auto"/>
        <w:ind w:firstLine="720"/>
        <w:rPr>
          <w:rFonts w:cstheme="minorHAnsi"/>
        </w:rPr>
      </w:pPr>
      <w:r w:rsidRPr="0004325A">
        <w:rPr>
          <w:rFonts w:cstheme="minorHAnsi"/>
        </w:rPr>
        <w:t xml:space="preserve">The </w:t>
      </w:r>
      <w:r w:rsidRPr="0004325A">
        <w:rPr>
          <w:rFonts w:cstheme="minorHAnsi"/>
          <w:i/>
        </w:rPr>
        <w:t>HIV Knowledge Confidence and Motivation</w:t>
      </w:r>
      <w:r w:rsidRPr="0004325A">
        <w:rPr>
          <w:rFonts w:cstheme="minorHAnsi"/>
        </w:rPr>
        <w:t xml:space="preserve"> scale included 13 items (alpha = .89) such as “You know enough to teach others what they should do if they think they have been exposed to HIV</w:t>
      </w:r>
      <w:r w:rsidR="00B11536">
        <w:rPr>
          <w:rFonts w:cstheme="minorHAnsi"/>
        </w:rPr>
        <w:t>,</w:t>
      </w:r>
      <w:r w:rsidRPr="0004325A">
        <w:rPr>
          <w:rFonts w:cstheme="minorHAnsi"/>
        </w:rPr>
        <w:t xml:space="preserve">” </w:t>
      </w:r>
      <w:r w:rsidR="007A0DF2" w:rsidRPr="0004325A">
        <w:rPr>
          <w:rFonts w:cstheme="minorHAnsi"/>
        </w:rPr>
        <w:t>“</w:t>
      </w:r>
      <w:r w:rsidRPr="0004325A">
        <w:rPr>
          <w:rFonts w:cstheme="minorHAnsi"/>
        </w:rPr>
        <w:t>You feel very confident that you could be a role model for</w:t>
      </w:r>
      <w:r w:rsidR="007A0DF2" w:rsidRPr="0004325A">
        <w:rPr>
          <w:rFonts w:cstheme="minorHAnsi"/>
        </w:rPr>
        <w:t xml:space="preserve"> </w:t>
      </w:r>
      <w:r w:rsidRPr="0004325A">
        <w:rPr>
          <w:rFonts w:cstheme="minorHAnsi"/>
        </w:rPr>
        <w:t>others in helping reduce HIV risks</w:t>
      </w:r>
      <w:r w:rsidR="00B11536">
        <w:rPr>
          <w:rFonts w:cstheme="minorHAnsi"/>
        </w:rPr>
        <w:t>,</w:t>
      </w:r>
      <w:r w:rsidRPr="0004325A">
        <w:rPr>
          <w:rFonts w:cstheme="minorHAnsi"/>
        </w:rPr>
        <w:t xml:space="preserve">” and </w:t>
      </w:r>
      <w:r w:rsidR="007A0DF2" w:rsidRPr="0004325A">
        <w:rPr>
          <w:rFonts w:cstheme="minorHAnsi"/>
        </w:rPr>
        <w:t>“</w:t>
      </w:r>
      <w:r w:rsidRPr="0004325A">
        <w:rPr>
          <w:rFonts w:cstheme="minorHAnsi"/>
        </w:rPr>
        <w:t>You are totally committed to helping your friends and/or family avoid HIV/AIDS.”</w:t>
      </w:r>
      <w:r w:rsidR="007C2021" w:rsidRPr="0004325A">
        <w:rPr>
          <w:rFonts w:cstheme="minorHAnsi"/>
        </w:rPr>
        <w:t xml:space="preserve">  </w:t>
      </w:r>
    </w:p>
    <w:p w:rsidR="00F427C3" w:rsidRPr="0004325A" w:rsidRDefault="007A0DF2" w:rsidP="00723575">
      <w:pPr>
        <w:pStyle w:val="NoSpacing"/>
        <w:spacing w:line="480" w:lineRule="auto"/>
        <w:ind w:firstLine="720"/>
        <w:rPr>
          <w:rFonts w:cstheme="minorHAnsi"/>
        </w:rPr>
      </w:pPr>
      <w:r w:rsidRPr="0004325A">
        <w:rPr>
          <w:rFonts w:cstheme="minorHAnsi"/>
          <w:i/>
        </w:rPr>
        <w:t xml:space="preserve">Avoiding Risky Sex </w:t>
      </w:r>
      <w:r w:rsidRPr="0004325A">
        <w:rPr>
          <w:rFonts w:cstheme="minorHAnsi"/>
        </w:rPr>
        <w:t>included 13 items (alpha = .91)</w:t>
      </w:r>
      <w:r w:rsidR="0004325A" w:rsidRPr="0004325A">
        <w:rPr>
          <w:rFonts w:cstheme="minorHAnsi"/>
        </w:rPr>
        <w:t xml:space="preserve"> such as “During the past month, you have learned about what situations might lead you to make a poor decision about risky sex</w:t>
      </w:r>
      <w:r w:rsidR="00B11536">
        <w:rPr>
          <w:rFonts w:cstheme="minorHAnsi"/>
        </w:rPr>
        <w:t>,</w:t>
      </w:r>
      <w:r w:rsidR="0004325A" w:rsidRPr="0004325A">
        <w:rPr>
          <w:rFonts w:cstheme="minorHAnsi"/>
        </w:rPr>
        <w:t xml:space="preserve">” </w:t>
      </w:r>
      <w:r w:rsidR="00400655">
        <w:rPr>
          <w:rFonts w:cstheme="minorHAnsi"/>
        </w:rPr>
        <w:t>“</w:t>
      </w:r>
      <w:r w:rsidR="0004325A" w:rsidRPr="0004325A">
        <w:rPr>
          <w:rFonts w:cstheme="minorHAnsi"/>
        </w:rPr>
        <w:t>During the past month, your confidence in managing emotions in sexual situations in the real world has increased</w:t>
      </w:r>
      <w:r w:rsidR="00B11536">
        <w:rPr>
          <w:rFonts w:cstheme="minorHAnsi"/>
        </w:rPr>
        <w:t>,</w:t>
      </w:r>
      <w:r w:rsidR="0004325A" w:rsidRPr="0004325A">
        <w:rPr>
          <w:rFonts w:cstheme="minorHAnsi"/>
        </w:rPr>
        <w:t>” and “During the past month, you have become more motivated to protect your sexual partner from HIV risk in the real world.”</w:t>
      </w:r>
    </w:p>
    <w:p w:rsidR="0004325A" w:rsidRPr="0004325A" w:rsidRDefault="0004325A" w:rsidP="00723575">
      <w:pPr>
        <w:pStyle w:val="NoSpacing"/>
        <w:spacing w:line="480" w:lineRule="auto"/>
        <w:ind w:firstLine="720"/>
        <w:rPr>
          <w:rFonts w:cstheme="minorHAnsi"/>
        </w:rPr>
      </w:pPr>
      <w:r w:rsidRPr="0004325A">
        <w:rPr>
          <w:rFonts w:cstheme="minorHAnsi"/>
          <w:i/>
        </w:rPr>
        <w:lastRenderedPageBreak/>
        <w:t>Avoiding Risky Drug Use</w:t>
      </w:r>
      <w:r w:rsidRPr="0004325A">
        <w:rPr>
          <w:rFonts w:cstheme="minorHAnsi"/>
        </w:rPr>
        <w:t xml:space="preserve"> included 12 items (alpha = .85) such as “You have learned to think ahead in order to make less risky decisions about drug use</w:t>
      </w:r>
      <w:r w:rsidR="00B11536">
        <w:rPr>
          <w:rFonts w:cstheme="minorHAnsi"/>
        </w:rPr>
        <w:t>,</w:t>
      </w:r>
      <w:r w:rsidRPr="0004325A">
        <w:rPr>
          <w:rFonts w:cstheme="minorHAnsi"/>
        </w:rPr>
        <w:t>” “You are confident you will avoid HIV risk from drug use</w:t>
      </w:r>
      <w:r w:rsidR="00B11536">
        <w:rPr>
          <w:rFonts w:cstheme="minorHAnsi"/>
        </w:rPr>
        <w:t>,</w:t>
      </w:r>
      <w:r w:rsidRPr="0004325A">
        <w:rPr>
          <w:rFonts w:cstheme="minorHAnsi"/>
        </w:rPr>
        <w:t>” and “Even if it means reducing your enjoyment, you will always keep yourself from being exposed to HIV due to drug use.”</w:t>
      </w:r>
    </w:p>
    <w:p w:rsidR="0004325A" w:rsidRPr="0004325A" w:rsidRDefault="0004325A" w:rsidP="00723575">
      <w:pPr>
        <w:pStyle w:val="NoSpacing"/>
        <w:spacing w:line="480" w:lineRule="auto"/>
        <w:ind w:firstLine="720"/>
        <w:rPr>
          <w:rFonts w:cstheme="minorHAnsi"/>
        </w:rPr>
      </w:pPr>
      <w:r w:rsidRPr="0004325A">
        <w:rPr>
          <w:rFonts w:cstheme="minorHAnsi"/>
          <w:i/>
        </w:rPr>
        <w:t xml:space="preserve">HIV Testing and Services </w:t>
      </w:r>
      <w:r w:rsidRPr="0004325A">
        <w:rPr>
          <w:rFonts w:cstheme="minorHAnsi"/>
        </w:rPr>
        <w:t xml:space="preserve">included 7 items (alpha = .76) such as </w:t>
      </w:r>
      <w:r>
        <w:rPr>
          <w:rFonts w:cstheme="minorHAnsi"/>
        </w:rPr>
        <w:t>“During the past month, you have become more knowledgeable about how to get HIV services in the real world” and “You will get test</w:t>
      </w:r>
      <w:r w:rsidR="00400655">
        <w:rPr>
          <w:rFonts w:cstheme="minorHAnsi"/>
        </w:rPr>
        <w:t>ed</w:t>
      </w:r>
      <w:r>
        <w:rPr>
          <w:rFonts w:cstheme="minorHAnsi"/>
        </w:rPr>
        <w:t xml:space="preserve"> for HIV if you think that you might have been exposed.”</w:t>
      </w:r>
    </w:p>
    <w:p w:rsidR="0004325A" w:rsidRDefault="0004325A" w:rsidP="00723575">
      <w:pPr>
        <w:pStyle w:val="NoSpacing"/>
        <w:spacing w:line="480" w:lineRule="auto"/>
        <w:ind w:firstLine="720"/>
        <w:rPr>
          <w:rFonts w:cstheme="minorHAnsi"/>
        </w:rPr>
      </w:pPr>
      <w:r w:rsidRPr="0004325A">
        <w:rPr>
          <w:rFonts w:cstheme="minorHAnsi"/>
          <w:i/>
        </w:rPr>
        <w:t>Risk Reduction Skills</w:t>
      </w:r>
      <w:r>
        <w:rPr>
          <w:rFonts w:cstheme="minorHAnsi"/>
        </w:rPr>
        <w:t xml:space="preserve"> included 14 items (alpha = .85) such as “During the past month, you have a better understanding of how your should</w:t>
      </w:r>
      <w:r w:rsidR="00400655">
        <w:rPr>
          <w:rFonts w:cstheme="minorHAnsi"/>
        </w:rPr>
        <w:t>s</w:t>
      </w:r>
      <w:r>
        <w:rPr>
          <w:rFonts w:cstheme="minorHAnsi"/>
        </w:rPr>
        <w:t xml:space="preserve"> and wants</w:t>
      </w:r>
      <w:r w:rsidR="00400655">
        <w:rPr>
          <w:rFonts w:cstheme="minorHAnsi"/>
        </w:rPr>
        <w:t xml:space="preserve"> can conflict in the real world</w:t>
      </w:r>
      <w:r w:rsidR="00B11536">
        <w:rPr>
          <w:rFonts w:cstheme="minorHAnsi"/>
        </w:rPr>
        <w:t>,</w:t>
      </w:r>
      <w:r w:rsidR="00400655">
        <w:rPr>
          <w:rFonts w:cstheme="minorHAnsi"/>
        </w:rPr>
        <w:t>” “During the past month, you have become more confident in balancing your shoulds and wants in the real world</w:t>
      </w:r>
      <w:r w:rsidR="00B11536">
        <w:rPr>
          <w:rFonts w:cstheme="minorHAnsi"/>
        </w:rPr>
        <w:t>,</w:t>
      </w:r>
      <w:r w:rsidR="00400655">
        <w:rPr>
          <w:rFonts w:cstheme="minorHAnsi"/>
        </w:rPr>
        <w:t>” and “During the past month, your motivation to avoid personal HIV risks in the real world has increased.”</w:t>
      </w:r>
    </w:p>
    <w:p w:rsidR="00ED4E23" w:rsidRPr="00ED4E23" w:rsidRDefault="00ED4E23" w:rsidP="00ED4E23">
      <w:pPr>
        <w:pStyle w:val="NoSpacing"/>
        <w:spacing w:line="480" w:lineRule="auto"/>
        <w:rPr>
          <w:rFonts w:cstheme="minorHAnsi"/>
          <w:i/>
        </w:rPr>
      </w:pPr>
      <w:r w:rsidRPr="00ED4E23">
        <w:rPr>
          <w:rFonts w:cstheme="minorHAnsi"/>
          <w:i/>
        </w:rPr>
        <w:t xml:space="preserve">2.4. </w:t>
      </w:r>
      <w:r w:rsidR="00836B15" w:rsidRPr="00ED4E23">
        <w:rPr>
          <w:rFonts w:cstheme="minorHAnsi"/>
          <w:i/>
        </w:rPr>
        <w:t xml:space="preserve">Sample. </w:t>
      </w:r>
    </w:p>
    <w:p w:rsidR="00836B15" w:rsidRDefault="00836B15" w:rsidP="00836B15">
      <w:pPr>
        <w:pStyle w:val="NoSpacing"/>
        <w:spacing w:line="480" w:lineRule="auto"/>
        <w:ind w:firstLine="720"/>
        <w:rPr>
          <w:rFonts w:cstheme="minorHAnsi"/>
        </w:rPr>
      </w:pPr>
      <w:r w:rsidRPr="00723575">
        <w:rPr>
          <w:rFonts w:cstheme="minorHAnsi"/>
        </w:rPr>
        <w:t>The sample include</w:t>
      </w:r>
      <w:r>
        <w:rPr>
          <w:rFonts w:cstheme="minorHAnsi"/>
        </w:rPr>
        <w:t>d</w:t>
      </w:r>
      <w:r w:rsidRPr="00723575">
        <w:rPr>
          <w:rFonts w:cstheme="minorHAnsi"/>
        </w:rPr>
        <w:t xml:space="preserve"> 1,3</w:t>
      </w:r>
      <w:r>
        <w:rPr>
          <w:rFonts w:cstheme="minorHAnsi"/>
        </w:rPr>
        <w:t>93</w:t>
      </w:r>
      <w:r w:rsidRPr="00723575">
        <w:rPr>
          <w:rFonts w:cstheme="minorHAnsi"/>
        </w:rPr>
        <w:t xml:space="preserve"> in</w:t>
      </w:r>
      <w:r>
        <w:rPr>
          <w:rFonts w:cstheme="minorHAnsi"/>
        </w:rPr>
        <w:t>mates</w:t>
      </w:r>
      <w:r w:rsidRPr="00723575">
        <w:rPr>
          <w:rFonts w:cstheme="minorHAnsi"/>
        </w:rPr>
        <w:t xml:space="preserve"> in the last </w:t>
      </w:r>
      <w:r>
        <w:rPr>
          <w:rFonts w:cstheme="minorHAnsi"/>
        </w:rPr>
        <w:t>phase</w:t>
      </w:r>
      <w:r w:rsidRPr="00723575">
        <w:rPr>
          <w:rFonts w:cstheme="minorHAnsi"/>
        </w:rPr>
        <w:t xml:space="preserve"> of</w:t>
      </w:r>
      <w:r>
        <w:rPr>
          <w:rFonts w:cstheme="minorHAnsi"/>
        </w:rPr>
        <w:t xml:space="preserve"> treatment</w:t>
      </w:r>
      <w:r w:rsidRPr="00723575">
        <w:rPr>
          <w:rFonts w:cstheme="minorHAnsi"/>
        </w:rPr>
        <w:t xml:space="preserve"> in eight different prison-based</w:t>
      </w:r>
      <w:r>
        <w:rPr>
          <w:rFonts w:cstheme="minorHAnsi"/>
        </w:rPr>
        <w:t>,</w:t>
      </w:r>
      <w:r w:rsidRPr="00723575">
        <w:rPr>
          <w:rFonts w:cstheme="minorHAnsi"/>
        </w:rPr>
        <w:t xml:space="preserve"> substance abuse </w:t>
      </w:r>
      <w:r>
        <w:rPr>
          <w:rFonts w:cstheme="minorHAnsi"/>
        </w:rPr>
        <w:t xml:space="preserve">therapeutic community </w:t>
      </w:r>
      <w:r w:rsidRPr="00723575">
        <w:rPr>
          <w:rFonts w:cstheme="minorHAnsi"/>
        </w:rPr>
        <w:t>treatment programs in two different states.  All participating offenders signed Informed Consent documents approved by the T</w:t>
      </w:r>
      <w:r>
        <w:rPr>
          <w:rFonts w:cstheme="minorHAnsi"/>
        </w:rPr>
        <w:t>exas Christian University (TCU)</w:t>
      </w:r>
      <w:r w:rsidRPr="00723575">
        <w:rPr>
          <w:rFonts w:cstheme="minorHAnsi"/>
        </w:rPr>
        <w:t xml:space="preserve"> IRB.  The eight participating facilities included three women’ facilities (including one special needs program) and five men’s facilities.</w:t>
      </w:r>
      <w:r>
        <w:rPr>
          <w:rFonts w:cstheme="minorHAnsi"/>
        </w:rPr>
        <w:t xml:space="preserve"> </w:t>
      </w:r>
    </w:p>
    <w:p w:rsidR="00836B15" w:rsidRDefault="00836B15" w:rsidP="00836B15">
      <w:pPr>
        <w:pStyle w:val="NoSpacing"/>
        <w:spacing w:line="480" w:lineRule="auto"/>
        <w:ind w:firstLine="720"/>
        <w:rPr>
          <w:rFonts w:cstheme="minorHAnsi"/>
        </w:rPr>
      </w:pPr>
      <w:r>
        <w:rPr>
          <w:rFonts w:cstheme="minorHAnsi"/>
        </w:rPr>
        <w:t xml:space="preserve">Sample demographics are shown in Table 3.  Overall, 52% of participants were white, 23% African American and 20% Hispanic; 56% were male, 61% had a High School diploma.  Almost half were single (46%), 23% were married and 31% divorced.  Average age was 34 with a range of 18 to 67.  </w:t>
      </w:r>
      <w:r w:rsidRPr="0035341D">
        <w:rPr>
          <w:rFonts w:cstheme="minorHAnsi"/>
          <w:i/>
        </w:rPr>
        <w:t>WaySafe</w:t>
      </w:r>
      <w:r>
        <w:rPr>
          <w:rFonts w:cstheme="minorHAnsi"/>
        </w:rPr>
        <w:t xml:space="preserve"> and TAU participants differed significantly on race but not on the other demographic variables.  </w:t>
      </w:r>
      <w:r w:rsidRPr="0035341D">
        <w:rPr>
          <w:rFonts w:cstheme="minorHAnsi"/>
          <w:i/>
        </w:rPr>
        <w:t>WaySafe</w:t>
      </w:r>
      <w:r>
        <w:rPr>
          <w:rFonts w:cstheme="minorHAnsi"/>
        </w:rPr>
        <w:t xml:space="preserve"> participants were more likely to be African American (27% vs. 19% for TAU) and TAU participants were more likely to be white (54% to 50%).  There were no significant differences on background problems between the </w:t>
      </w:r>
      <w:r w:rsidRPr="00EC38FA">
        <w:rPr>
          <w:rFonts w:cstheme="minorHAnsi"/>
          <w:i/>
        </w:rPr>
        <w:t>WaySafe</w:t>
      </w:r>
      <w:r>
        <w:rPr>
          <w:rFonts w:cstheme="minorHAnsi"/>
        </w:rPr>
        <w:t xml:space="preserve"> and TAU groups in the six months before entering the </w:t>
      </w:r>
      <w:r>
        <w:rPr>
          <w:rFonts w:cstheme="minorHAnsi"/>
        </w:rPr>
        <w:lastRenderedPageBreak/>
        <w:t xml:space="preserve">current facility.  Overall, 50% of the sample reported they were employed full-time, 28% were unemployed and not looking for work, 26% were on public financial support, 69% on parole or probation, 25% had been treated in an emergency room, 20% had been treated for a mental health problem, 10% had been treated for an alcohol use problem, 22% for illegal drug use, </w:t>
      </w:r>
      <w:r w:rsidR="00650672">
        <w:rPr>
          <w:rFonts w:cstheme="minorHAnsi"/>
        </w:rPr>
        <w:t xml:space="preserve">and </w:t>
      </w:r>
      <w:r>
        <w:rPr>
          <w:rFonts w:cstheme="minorHAnsi"/>
        </w:rPr>
        <w:t>62% had been arrested and</w:t>
      </w:r>
      <w:r w:rsidR="00650672">
        <w:rPr>
          <w:rFonts w:cstheme="minorHAnsi"/>
        </w:rPr>
        <w:t xml:space="preserve"> 67% had been in jail or prison prior to their current situation.</w:t>
      </w:r>
    </w:p>
    <w:p w:rsidR="00836B15" w:rsidRDefault="00836B15" w:rsidP="00836B15">
      <w:pPr>
        <w:pStyle w:val="NoSpacing"/>
        <w:pBdr>
          <w:top w:val="single" w:sz="4" w:space="1" w:color="auto"/>
          <w:bottom w:val="single" w:sz="4" w:space="1" w:color="auto"/>
        </w:pBdr>
        <w:ind w:left="2520" w:right="2520"/>
        <w:jc w:val="center"/>
        <w:rPr>
          <w:rFonts w:cstheme="minorHAnsi"/>
        </w:rPr>
      </w:pPr>
    </w:p>
    <w:p w:rsidR="00836B15" w:rsidRDefault="00836B15" w:rsidP="00836B15">
      <w:pPr>
        <w:pStyle w:val="NoSpacing"/>
        <w:pBdr>
          <w:top w:val="single" w:sz="4" w:space="1" w:color="auto"/>
          <w:bottom w:val="single" w:sz="4" w:space="1" w:color="auto"/>
        </w:pBdr>
        <w:ind w:left="2520" w:right="2520"/>
        <w:jc w:val="center"/>
        <w:rPr>
          <w:rFonts w:cstheme="minorHAnsi"/>
        </w:rPr>
      </w:pPr>
      <w:r>
        <w:rPr>
          <w:rFonts w:cstheme="minorHAnsi"/>
        </w:rPr>
        <w:t>Insert Table 3 about here</w:t>
      </w:r>
    </w:p>
    <w:p w:rsidR="00836B15" w:rsidRDefault="00836B15" w:rsidP="00836B15">
      <w:pPr>
        <w:pStyle w:val="NoSpacing"/>
        <w:pBdr>
          <w:top w:val="single" w:sz="4" w:space="1" w:color="auto"/>
          <w:bottom w:val="single" w:sz="4" w:space="1" w:color="auto"/>
        </w:pBdr>
        <w:ind w:left="2520" w:right="2520"/>
        <w:jc w:val="center"/>
        <w:rPr>
          <w:rFonts w:cstheme="minorHAnsi"/>
        </w:rPr>
      </w:pPr>
    </w:p>
    <w:p w:rsidR="00ED4E23" w:rsidRPr="00ED4E23" w:rsidRDefault="00ED4E23" w:rsidP="00ED4E23">
      <w:pPr>
        <w:pStyle w:val="NoSpacing"/>
        <w:spacing w:before="240" w:line="480" w:lineRule="auto"/>
        <w:rPr>
          <w:rFonts w:cstheme="minorHAnsi"/>
          <w:i/>
        </w:rPr>
      </w:pPr>
      <w:r w:rsidRPr="00ED4E23">
        <w:rPr>
          <w:rFonts w:cstheme="minorHAnsi"/>
          <w:i/>
        </w:rPr>
        <w:t xml:space="preserve">2.5. </w:t>
      </w:r>
      <w:r w:rsidR="009E32D2" w:rsidRPr="00ED4E23">
        <w:rPr>
          <w:rFonts w:cstheme="minorHAnsi"/>
          <w:i/>
        </w:rPr>
        <w:t>Analytical approach</w:t>
      </w:r>
    </w:p>
    <w:p w:rsidR="00EE7F45" w:rsidRPr="00723575" w:rsidRDefault="00183DEA" w:rsidP="00ED4E23">
      <w:pPr>
        <w:pStyle w:val="NoSpacing"/>
        <w:spacing w:line="480" w:lineRule="auto"/>
        <w:ind w:firstLine="720"/>
        <w:rPr>
          <w:rFonts w:cstheme="minorHAnsi"/>
        </w:rPr>
      </w:pPr>
      <w:r>
        <w:rPr>
          <w:rFonts w:cstheme="minorHAnsi"/>
        </w:rPr>
        <w:t xml:space="preserve">Analyses comparing </w:t>
      </w:r>
      <w:r w:rsidRPr="009373D6">
        <w:rPr>
          <w:rFonts w:cstheme="minorHAnsi"/>
          <w:i/>
        </w:rPr>
        <w:t>WaySafe</w:t>
      </w:r>
      <w:r>
        <w:rPr>
          <w:rFonts w:cstheme="minorHAnsi"/>
        </w:rPr>
        <w:t xml:space="preserve"> and TAU on pre-test and post-test scores </w:t>
      </w:r>
      <w:r w:rsidR="00111491" w:rsidRPr="00723575">
        <w:rPr>
          <w:rFonts w:cstheme="minorHAnsi"/>
        </w:rPr>
        <w:t xml:space="preserve">used SAS Proc Mixed (to account for nesting within the </w:t>
      </w:r>
      <w:r w:rsidR="00DF17CD">
        <w:rPr>
          <w:rFonts w:cstheme="minorHAnsi"/>
        </w:rPr>
        <w:t>eight</w:t>
      </w:r>
      <w:r w:rsidR="00111491" w:rsidRPr="00723575">
        <w:rPr>
          <w:rFonts w:cstheme="minorHAnsi"/>
        </w:rPr>
        <w:t xml:space="preserve"> institutions)</w:t>
      </w:r>
      <w:r>
        <w:rPr>
          <w:rFonts w:cstheme="minorHAnsi"/>
        </w:rPr>
        <w:t xml:space="preserve">.  Analyses comparing </w:t>
      </w:r>
      <w:r w:rsidRPr="009373D6">
        <w:rPr>
          <w:rFonts w:cstheme="minorHAnsi"/>
          <w:i/>
        </w:rPr>
        <w:t>WaySafe</w:t>
      </w:r>
      <w:r>
        <w:rPr>
          <w:rFonts w:cstheme="minorHAnsi"/>
        </w:rPr>
        <w:t xml:space="preserve"> and TAU groups on post-test scores used pre-test scores for the appropriate scales as covariates.</w:t>
      </w:r>
      <w:r w:rsidR="00A11CB8">
        <w:rPr>
          <w:rFonts w:cstheme="minorHAnsi"/>
        </w:rPr>
        <w:t xml:space="preserve"> </w:t>
      </w:r>
      <w:r w:rsidR="003807DD">
        <w:rPr>
          <w:rFonts w:cstheme="minorHAnsi"/>
        </w:rPr>
        <w:t xml:space="preserve"> Effect sizes (C</w:t>
      </w:r>
      <w:r>
        <w:rPr>
          <w:rFonts w:cstheme="minorHAnsi"/>
        </w:rPr>
        <w:t>ohen’s d</w:t>
      </w:r>
      <w:r w:rsidRPr="00E84E4C">
        <w:rPr>
          <w:rFonts w:cstheme="minorHAnsi"/>
        </w:rPr>
        <w:t>; Cohen, 1988) wer</w:t>
      </w:r>
      <w:r>
        <w:rPr>
          <w:rFonts w:cstheme="minorHAnsi"/>
        </w:rPr>
        <w:t xml:space="preserve">e computed as the mean difference between the </w:t>
      </w:r>
      <w:r w:rsidRPr="009373D6">
        <w:rPr>
          <w:rFonts w:cstheme="minorHAnsi"/>
          <w:i/>
        </w:rPr>
        <w:t>WaySafe</w:t>
      </w:r>
      <w:r>
        <w:rPr>
          <w:rFonts w:cstheme="minorHAnsi"/>
        </w:rPr>
        <w:t xml:space="preserve"> and TAU means divided by the pooled standard deviation.</w:t>
      </w:r>
      <w:r w:rsidR="00173D4B">
        <w:rPr>
          <w:rFonts w:cstheme="minorHAnsi"/>
        </w:rPr>
        <w:t xml:space="preserve">  </w:t>
      </w:r>
      <w:r>
        <w:rPr>
          <w:rFonts w:cstheme="minorHAnsi"/>
        </w:rPr>
        <w:t>Additional analyses using SAS Proc GLM were conducted as above on pre-test and post-test scores within each of the eight facilities.</w:t>
      </w:r>
    </w:p>
    <w:p w:rsidR="009E32D2" w:rsidRPr="007E5BE6" w:rsidRDefault="00ED4E23" w:rsidP="00ED4E23">
      <w:pPr>
        <w:pStyle w:val="NoSpacing"/>
        <w:spacing w:line="480" w:lineRule="auto"/>
        <w:rPr>
          <w:rFonts w:cstheme="minorHAnsi"/>
          <w:b/>
        </w:rPr>
      </w:pPr>
      <w:r>
        <w:rPr>
          <w:rFonts w:cstheme="minorHAnsi"/>
          <w:b/>
        </w:rPr>
        <w:t xml:space="preserve">3. </w:t>
      </w:r>
      <w:r w:rsidR="007E5BE6" w:rsidRPr="007E5BE6">
        <w:rPr>
          <w:rFonts w:cstheme="minorHAnsi"/>
          <w:b/>
        </w:rPr>
        <w:t>Results</w:t>
      </w:r>
    </w:p>
    <w:p w:rsidR="00ED4E23" w:rsidRPr="00ED4E23" w:rsidRDefault="00ED4E23" w:rsidP="00ED4E23">
      <w:pPr>
        <w:pStyle w:val="NoSpacing"/>
        <w:spacing w:line="480" w:lineRule="auto"/>
        <w:rPr>
          <w:rFonts w:cstheme="minorHAnsi"/>
          <w:i/>
        </w:rPr>
      </w:pPr>
      <w:r w:rsidRPr="00ED4E23">
        <w:rPr>
          <w:rFonts w:cstheme="minorHAnsi"/>
          <w:i/>
        </w:rPr>
        <w:t>3.1</w:t>
      </w:r>
      <w:r>
        <w:rPr>
          <w:rFonts w:cstheme="minorHAnsi"/>
          <w:i/>
        </w:rPr>
        <w:t>.</w:t>
      </w:r>
      <w:r w:rsidRPr="00ED4E23">
        <w:rPr>
          <w:rFonts w:cstheme="minorHAnsi"/>
          <w:i/>
        </w:rPr>
        <w:t xml:space="preserve"> </w:t>
      </w:r>
      <w:r w:rsidR="00A73F78" w:rsidRPr="00ED4E23">
        <w:rPr>
          <w:rFonts w:cstheme="minorHAnsi"/>
          <w:i/>
        </w:rPr>
        <w:t xml:space="preserve">Post-test completers vs. non-completers  </w:t>
      </w:r>
    </w:p>
    <w:p w:rsidR="00A73F78" w:rsidRDefault="00A73F78" w:rsidP="00A73F78">
      <w:pPr>
        <w:pStyle w:val="NoSpacing"/>
        <w:spacing w:line="480" w:lineRule="auto"/>
        <w:ind w:firstLine="720"/>
        <w:rPr>
          <w:rFonts w:cstheme="minorHAnsi"/>
        </w:rPr>
      </w:pPr>
      <w:r>
        <w:rPr>
          <w:rFonts w:cstheme="minorHAnsi"/>
        </w:rPr>
        <w:t>Of the 1,393 participants who completed the pre-test survey, 136 did not complete the post-test survey.  A comparison of these 136 with the analysis sample of 1,257 participants who completed both pre-test and post-test surveys on demographic variables and the five pre-test scales indicated that participants who did not complete a post-test were more likely than those who did to be male (67% of post-test non-completers vs. 56% of completers), more likely to be single (58% vs. 46%) but less likely to be divorced or separated (17% vs. 31%), were younger (mean age of 31.8 vs. 34.3), and were more likely to be on parole or probation in the six months prior to entering the present facility (79% to 69%).</w:t>
      </w:r>
      <w:r w:rsidR="009D05FD">
        <w:rPr>
          <w:rFonts w:cstheme="minorHAnsi"/>
        </w:rPr>
        <w:t xml:space="preserve">  </w:t>
      </w:r>
      <w:r>
        <w:rPr>
          <w:rFonts w:cstheme="minorHAnsi"/>
        </w:rPr>
        <w:t>Post-</w:t>
      </w:r>
      <w:r>
        <w:rPr>
          <w:rFonts w:cstheme="minorHAnsi"/>
        </w:rPr>
        <w:lastRenderedPageBreak/>
        <w:t>test non-completers also had slightly higher scores at pre-test than did completers on HIV Services and Testing (least squares means of 43.3 vs. 42.1) and Risk Reduction Skills (42.5 vs. 41.6).</w:t>
      </w:r>
    </w:p>
    <w:p w:rsidR="00ED4E23" w:rsidRPr="00ED4E23" w:rsidRDefault="00ED4E23" w:rsidP="00ED4E23">
      <w:pPr>
        <w:pStyle w:val="NoSpacing"/>
        <w:spacing w:line="480" w:lineRule="auto"/>
        <w:rPr>
          <w:rFonts w:cstheme="minorHAnsi"/>
          <w:i/>
        </w:rPr>
      </w:pPr>
      <w:r w:rsidRPr="00ED4E23">
        <w:rPr>
          <w:rFonts w:cstheme="minorHAnsi"/>
          <w:i/>
        </w:rPr>
        <w:t xml:space="preserve">3.2. </w:t>
      </w:r>
      <w:r w:rsidR="007E5BE6" w:rsidRPr="00ED4E23">
        <w:rPr>
          <w:rFonts w:cstheme="minorHAnsi"/>
          <w:i/>
        </w:rPr>
        <w:t>Pre-test comparisons</w:t>
      </w:r>
    </w:p>
    <w:p w:rsidR="007E5BE6" w:rsidRDefault="007F16AC" w:rsidP="00723575">
      <w:pPr>
        <w:pStyle w:val="NoSpacing"/>
        <w:spacing w:line="480" w:lineRule="auto"/>
        <w:ind w:firstLine="720"/>
        <w:rPr>
          <w:rFonts w:cstheme="minorHAnsi"/>
        </w:rPr>
      </w:pPr>
      <w:r>
        <w:rPr>
          <w:rFonts w:cstheme="minorHAnsi"/>
        </w:rPr>
        <w:t xml:space="preserve">Scores on the five pre-test scales for </w:t>
      </w:r>
      <w:r w:rsidRPr="007F16AC">
        <w:rPr>
          <w:rFonts w:cstheme="minorHAnsi"/>
          <w:i/>
        </w:rPr>
        <w:t>WaySafe</w:t>
      </w:r>
      <w:r>
        <w:rPr>
          <w:rFonts w:cstheme="minorHAnsi"/>
        </w:rPr>
        <w:t xml:space="preserve"> and TAU participants are shown in Table 4.  There were no significant differences at pre-test between the two groups.  Effect sizes of the group differences were small, ranging in absolute value from .005 to .023.</w:t>
      </w:r>
    </w:p>
    <w:p w:rsidR="009373D6" w:rsidRDefault="009373D6" w:rsidP="009373D6">
      <w:pPr>
        <w:pStyle w:val="NoSpacing"/>
        <w:pBdr>
          <w:top w:val="single" w:sz="4" w:space="1" w:color="auto"/>
          <w:bottom w:val="single" w:sz="4" w:space="1" w:color="auto"/>
        </w:pBdr>
        <w:ind w:left="2520" w:right="2520"/>
        <w:jc w:val="center"/>
        <w:rPr>
          <w:rFonts w:cstheme="minorHAnsi"/>
        </w:rPr>
      </w:pPr>
    </w:p>
    <w:p w:rsidR="009373D6" w:rsidRDefault="009373D6" w:rsidP="009373D6">
      <w:pPr>
        <w:pStyle w:val="NoSpacing"/>
        <w:pBdr>
          <w:top w:val="single" w:sz="4" w:space="1" w:color="auto"/>
          <w:bottom w:val="single" w:sz="4" w:space="1" w:color="auto"/>
        </w:pBdr>
        <w:ind w:left="2520" w:right="2520"/>
        <w:jc w:val="center"/>
        <w:rPr>
          <w:rFonts w:cstheme="minorHAnsi"/>
        </w:rPr>
      </w:pPr>
      <w:r>
        <w:rPr>
          <w:rFonts w:cstheme="minorHAnsi"/>
        </w:rPr>
        <w:t>Insert Table 4 about here</w:t>
      </w:r>
    </w:p>
    <w:p w:rsidR="009373D6" w:rsidRDefault="009373D6" w:rsidP="009373D6">
      <w:pPr>
        <w:pStyle w:val="NoSpacing"/>
        <w:pBdr>
          <w:top w:val="single" w:sz="4" w:space="1" w:color="auto"/>
          <w:bottom w:val="single" w:sz="4" w:space="1" w:color="auto"/>
        </w:pBdr>
        <w:spacing w:after="240"/>
        <w:ind w:left="2520" w:right="2520"/>
        <w:jc w:val="center"/>
        <w:rPr>
          <w:rFonts w:cstheme="minorHAnsi"/>
        </w:rPr>
      </w:pPr>
    </w:p>
    <w:p w:rsidR="00ED4E23" w:rsidRPr="00ED4E23" w:rsidRDefault="00ED4E23" w:rsidP="00ED4E23">
      <w:pPr>
        <w:pStyle w:val="NoSpacing"/>
        <w:spacing w:line="480" w:lineRule="auto"/>
        <w:rPr>
          <w:rFonts w:cstheme="minorHAnsi"/>
          <w:i/>
        </w:rPr>
      </w:pPr>
      <w:r w:rsidRPr="00ED4E23">
        <w:rPr>
          <w:rFonts w:cstheme="minorHAnsi"/>
          <w:i/>
        </w:rPr>
        <w:t xml:space="preserve">3.3. </w:t>
      </w:r>
      <w:r w:rsidR="007E5BE6" w:rsidRPr="00ED4E23">
        <w:rPr>
          <w:rFonts w:cstheme="minorHAnsi"/>
          <w:i/>
        </w:rPr>
        <w:t>Post-test comparisons</w:t>
      </w:r>
    </w:p>
    <w:p w:rsidR="007E5BE6" w:rsidRDefault="007F16AC" w:rsidP="00723575">
      <w:pPr>
        <w:pStyle w:val="NoSpacing"/>
        <w:spacing w:line="480" w:lineRule="auto"/>
        <w:ind w:firstLine="720"/>
        <w:rPr>
          <w:rFonts w:cstheme="minorHAnsi"/>
        </w:rPr>
      </w:pPr>
      <w:r>
        <w:rPr>
          <w:rFonts w:cstheme="minorHAnsi"/>
        </w:rPr>
        <w:t xml:space="preserve">Table 5 shows the means scores on the five post-test scales for the </w:t>
      </w:r>
      <w:r w:rsidRPr="007F16AC">
        <w:rPr>
          <w:rFonts w:cstheme="minorHAnsi"/>
          <w:i/>
        </w:rPr>
        <w:t>WaySafe</w:t>
      </w:r>
      <w:r>
        <w:rPr>
          <w:rFonts w:cstheme="minorHAnsi"/>
        </w:rPr>
        <w:t xml:space="preserve"> and TAU groups.  As shown, the </w:t>
      </w:r>
      <w:r w:rsidRPr="007F16AC">
        <w:rPr>
          <w:rFonts w:cstheme="minorHAnsi"/>
          <w:i/>
        </w:rPr>
        <w:t>WaySafe</w:t>
      </w:r>
      <w:r>
        <w:rPr>
          <w:rFonts w:cstheme="minorHAnsi"/>
        </w:rPr>
        <w:t xml:space="preserve"> participants had a higher mean score on all five scales at post-test than did TAU participants, with p &lt; .001 for each scale.  Effect sizes were .424 for HIV Knowledge Confidence, .416 for Avoiding Risky Sex, .270 for Avoiding Risky Drug Use, .346 for HIV Services and Testing, and .381 for Risk Reduction Skills.</w:t>
      </w:r>
      <w:r w:rsidR="00D63E13">
        <w:rPr>
          <w:rFonts w:cstheme="minorHAnsi"/>
        </w:rPr>
        <w:t xml:space="preserve">  Although not shown in T</w:t>
      </w:r>
      <w:r w:rsidR="00B77098">
        <w:rPr>
          <w:rFonts w:cstheme="minorHAnsi"/>
        </w:rPr>
        <w:t xml:space="preserve">able 5, there were significant </w:t>
      </w:r>
      <w:r w:rsidR="00D63E13">
        <w:rPr>
          <w:rFonts w:cstheme="minorHAnsi"/>
        </w:rPr>
        <w:t>pre-test to post-test increases on all five sc</w:t>
      </w:r>
      <w:r w:rsidR="00F70E47">
        <w:rPr>
          <w:rFonts w:cstheme="minorHAnsi"/>
        </w:rPr>
        <w:t>al</w:t>
      </w:r>
      <w:r w:rsidR="00D63E13">
        <w:rPr>
          <w:rFonts w:cstheme="minorHAnsi"/>
        </w:rPr>
        <w:t xml:space="preserve">es for both the TAU and </w:t>
      </w:r>
      <w:r w:rsidR="00D63E13" w:rsidRPr="00D63E13">
        <w:rPr>
          <w:rFonts w:cstheme="minorHAnsi"/>
          <w:i/>
        </w:rPr>
        <w:t>WaySafe</w:t>
      </w:r>
      <w:r w:rsidR="00D63E13">
        <w:rPr>
          <w:rFonts w:cstheme="minorHAnsi"/>
        </w:rPr>
        <w:t xml:space="preserve"> groups, although there were larger changes for the </w:t>
      </w:r>
      <w:r w:rsidR="00D63E13" w:rsidRPr="00D63E13">
        <w:rPr>
          <w:rFonts w:cstheme="minorHAnsi"/>
          <w:i/>
        </w:rPr>
        <w:t>WaySafe</w:t>
      </w:r>
      <w:r w:rsidR="00D63E13">
        <w:rPr>
          <w:rFonts w:cstheme="minorHAnsi"/>
        </w:rPr>
        <w:t xml:space="preserve"> group </w:t>
      </w:r>
      <w:r w:rsidR="00F70E47">
        <w:rPr>
          <w:rFonts w:cstheme="minorHAnsi"/>
        </w:rPr>
        <w:t>on each scale</w:t>
      </w:r>
      <w:r w:rsidR="00D63E13">
        <w:rPr>
          <w:rFonts w:cstheme="minorHAnsi"/>
        </w:rPr>
        <w:t>.  For the TAU grou</w:t>
      </w:r>
      <w:r w:rsidR="00F70E47">
        <w:rPr>
          <w:rFonts w:cstheme="minorHAnsi"/>
        </w:rPr>
        <w:t>p, post-test/pre-test differences ranged from 1.3 to 2.6 on the five scales</w:t>
      </w:r>
      <w:r w:rsidR="00B11536">
        <w:rPr>
          <w:rFonts w:cstheme="minorHAnsi"/>
        </w:rPr>
        <w:t>,</w:t>
      </w:r>
      <w:r w:rsidR="00F70E47">
        <w:rPr>
          <w:rFonts w:cstheme="minorHAnsi"/>
        </w:rPr>
        <w:t xml:space="preserve"> with effect sizes for the difference ranging from .232 to .352.  For the </w:t>
      </w:r>
      <w:r w:rsidR="00F70E47" w:rsidRPr="00F70E47">
        <w:rPr>
          <w:rFonts w:cstheme="minorHAnsi"/>
          <w:i/>
        </w:rPr>
        <w:t>WaySafe</w:t>
      </w:r>
      <w:r w:rsidR="00F70E47">
        <w:rPr>
          <w:rFonts w:cstheme="minorHAnsi"/>
        </w:rPr>
        <w:t xml:space="preserve"> group, difference scores ranged from 2.7 to 5.3 for the five scales and effect sizes for the difference ranged from .491 to .795.</w:t>
      </w:r>
    </w:p>
    <w:p w:rsidR="002B202B" w:rsidRDefault="002B202B" w:rsidP="002B202B">
      <w:pPr>
        <w:pStyle w:val="NoSpacing"/>
        <w:pBdr>
          <w:top w:val="single" w:sz="4" w:space="1" w:color="auto"/>
          <w:bottom w:val="single" w:sz="4" w:space="1" w:color="auto"/>
        </w:pBdr>
        <w:ind w:left="2520" w:right="2520"/>
        <w:jc w:val="center"/>
        <w:rPr>
          <w:rFonts w:cstheme="minorHAnsi"/>
        </w:rPr>
      </w:pPr>
    </w:p>
    <w:p w:rsidR="002B202B" w:rsidRDefault="002B202B" w:rsidP="002B202B">
      <w:pPr>
        <w:pStyle w:val="NoSpacing"/>
        <w:pBdr>
          <w:top w:val="single" w:sz="4" w:space="1" w:color="auto"/>
          <w:bottom w:val="single" w:sz="4" w:space="1" w:color="auto"/>
        </w:pBdr>
        <w:ind w:left="2520" w:right="2520"/>
        <w:jc w:val="center"/>
        <w:rPr>
          <w:rFonts w:cstheme="minorHAnsi"/>
        </w:rPr>
      </w:pPr>
      <w:r>
        <w:rPr>
          <w:rFonts w:cstheme="minorHAnsi"/>
        </w:rPr>
        <w:t>Insert Table 5 about here</w:t>
      </w:r>
    </w:p>
    <w:p w:rsidR="002B202B" w:rsidRDefault="002B202B" w:rsidP="002B202B">
      <w:pPr>
        <w:pStyle w:val="NoSpacing"/>
        <w:pBdr>
          <w:top w:val="single" w:sz="4" w:space="1" w:color="auto"/>
          <w:bottom w:val="single" w:sz="4" w:space="1" w:color="auto"/>
        </w:pBdr>
        <w:ind w:left="2520" w:right="2520"/>
        <w:jc w:val="center"/>
        <w:rPr>
          <w:rFonts w:cstheme="minorHAnsi"/>
        </w:rPr>
      </w:pPr>
    </w:p>
    <w:p w:rsidR="00ED4E23" w:rsidRPr="00ED4E23" w:rsidRDefault="00ED4E23" w:rsidP="00ED4E23">
      <w:pPr>
        <w:pStyle w:val="NoSpacing"/>
        <w:spacing w:before="240" w:line="480" w:lineRule="auto"/>
        <w:rPr>
          <w:rFonts w:cstheme="minorHAnsi"/>
          <w:i/>
        </w:rPr>
      </w:pPr>
      <w:r w:rsidRPr="00ED4E23">
        <w:rPr>
          <w:rFonts w:cstheme="minorHAnsi"/>
          <w:i/>
        </w:rPr>
        <w:t xml:space="preserve">3.4. </w:t>
      </w:r>
      <w:r w:rsidR="007E5BE6" w:rsidRPr="00ED4E23">
        <w:rPr>
          <w:rFonts w:cstheme="minorHAnsi"/>
          <w:i/>
        </w:rPr>
        <w:t>Facility-level comparisons</w:t>
      </w:r>
    </w:p>
    <w:p w:rsidR="007E5BE6" w:rsidRDefault="00F70E47" w:rsidP="00D3243B">
      <w:pPr>
        <w:pStyle w:val="NoSpacing"/>
        <w:spacing w:line="480" w:lineRule="auto"/>
        <w:ind w:firstLine="720"/>
        <w:rPr>
          <w:rFonts w:cstheme="minorHAnsi"/>
        </w:rPr>
      </w:pPr>
      <w:r w:rsidRPr="00F70E47">
        <w:rPr>
          <w:rFonts w:cstheme="minorHAnsi"/>
          <w:i/>
        </w:rPr>
        <w:t>WaySafe</w:t>
      </w:r>
      <w:r>
        <w:rPr>
          <w:rFonts w:cstheme="minorHAnsi"/>
        </w:rPr>
        <w:t xml:space="preserve"> and TAU groups</w:t>
      </w:r>
      <w:r w:rsidR="00093824">
        <w:rPr>
          <w:rFonts w:cstheme="minorHAnsi"/>
        </w:rPr>
        <w:t xml:space="preserve"> also were compared</w:t>
      </w:r>
      <w:r>
        <w:rPr>
          <w:rFonts w:cstheme="minorHAnsi"/>
        </w:rPr>
        <w:t xml:space="preserve"> on the pre-test and post-test scales separately for each of the eight participating facilities.  Analyses were similar to those described above except that SAS </w:t>
      </w:r>
      <w:r>
        <w:rPr>
          <w:rFonts w:cstheme="minorHAnsi"/>
        </w:rPr>
        <w:lastRenderedPageBreak/>
        <w:t xml:space="preserve">Proc GLM was used rather than Proc Mixed because analyses were conducted within each of the nesting units.  TAU and </w:t>
      </w:r>
      <w:r w:rsidRPr="00F70E47">
        <w:rPr>
          <w:rFonts w:cstheme="minorHAnsi"/>
          <w:i/>
        </w:rPr>
        <w:t>WaySafe</w:t>
      </w:r>
      <w:r>
        <w:rPr>
          <w:rFonts w:cstheme="minorHAnsi"/>
        </w:rPr>
        <w:t xml:space="preserve"> groups were first compared on pre-test scores, and then on post-test scores controlling for the pre-test score.  For the pre-test comparisons, the TAU group had a higher score on Avoiding Risky Drug Use in one facility (43.0 vs. 41.1) and for HIV Knowledge Confidence in a second facility (43.1 vs. 40.7).  </w:t>
      </w:r>
      <w:r w:rsidR="00725492">
        <w:rPr>
          <w:rFonts w:cstheme="minorHAnsi"/>
        </w:rPr>
        <w:t xml:space="preserve">At post-test, the </w:t>
      </w:r>
      <w:r w:rsidR="00725492" w:rsidRPr="00725492">
        <w:rPr>
          <w:rFonts w:cstheme="minorHAnsi"/>
          <w:i/>
        </w:rPr>
        <w:t>WaySafe</w:t>
      </w:r>
      <w:r w:rsidR="00725492">
        <w:rPr>
          <w:rFonts w:cstheme="minorHAnsi"/>
        </w:rPr>
        <w:t xml:space="preserve"> group had significantly higher post-test scores than did the TAU group on all five scales in four of the facilities</w:t>
      </w:r>
      <w:r w:rsidR="00834512">
        <w:rPr>
          <w:rFonts w:cstheme="minorHAnsi"/>
        </w:rPr>
        <w:t xml:space="preserve">, </w:t>
      </w:r>
      <w:r w:rsidR="00725492">
        <w:rPr>
          <w:rFonts w:cstheme="minorHAnsi"/>
        </w:rPr>
        <w:t>had significantly higher scores than did the TAU group on three of the five scales in three facilities</w:t>
      </w:r>
      <w:r w:rsidR="00834512">
        <w:rPr>
          <w:rFonts w:cstheme="minorHAnsi"/>
        </w:rPr>
        <w:t xml:space="preserve">, </w:t>
      </w:r>
      <w:r w:rsidR="00725492">
        <w:rPr>
          <w:rFonts w:cstheme="minorHAnsi"/>
        </w:rPr>
        <w:t xml:space="preserve">and </w:t>
      </w:r>
      <w:r w:rsidR="00834512">
        <w:rPr>
          <w:rFonts w:cstheme="minorHAnsi"/>
        </w:rPr>
        <w:t xml:space="preserve">higher scores on </w:t>
      </w:r>
      <w:r w:rsidR="00725492">
        <w:rPr>
          <w:rFonts w:cstheme="minorHAnsi"/>
        </w:rPr>
        <w:t xml:space="preserve">two of the five scales in one facility.  The TAU group did not have significantly higher post-test scores on any scale in any of the eight facilities. </w:t>
      </w:r>
    </w:p>
    <w:p w:rsidR="002B202B" w:rsidRPr="002B202B" w:rsidRDefault="00D3243B" w:rsidP="00D3243B">
      <w:pPr>
        <w:pStyle w:val="NoSpacing"/>
        <w:keepNext/>
        <w:spacing w:line="480" w:lineRule="auto"/>
        <w:rPr>
          <w:rFonts w:cstheme="minorHAnsi"/>
          <w:b/>
        </w:rPr>
      </w:pPr>
      <w:r>
        <w:rPr>
          <w:rFonts w:cstheme="minorHAnsi"/>
          <w:b/>
        </w:rPr>
        <w:t xml:space="preserve">4. </w:t>
      </w:r>
      <w:r w:rsidR="002B202B" w:rsidRPr="002B202B">
        <w:rPr>
          <w:rFonts w:cstheme="minorHAnsi"/>
          <w:b/>
        </w:rPr>
        <w:t>Discussion</w:t>
      </w:r>
    </w:p>
    <w:p w:rsidR="002B202B" w:rsidRDefault="007756A4" w:rsidP="00723575">
      <w:pPr>
        <w:pStyle w:val="NoSpacing"/>
        <w:spacing w:line="480" w:lineRule="auto"/>
        <w:ind w:firstLine="720"/>
        <w:rPr>
          <w:rFonts w:cstheme="minorHAnsi"/>
        </w:rPr>
      </w:pPr>
      <w:r>
        <w:rPr>
          <w:rFonts w:cstheme="minorHAnsi"/>
        </w:rPr>
        <w:t xml:space="preserve">A curriculum to improve decision-making regarding disease risk behaviors for incarcerated drug abusers undergoing substance abuse treatment was developed and </w:t>
      </w:r>
      <w:r w:rsidR="0029481A">
        <w:rPr>
          <w:rFonts w:cstheme="minorHAnsi"/>
        </w:rPr>
        <w:t xml:space="preserve">successfully </w:t>
      </w:r>
      <w:r>
        <w:rPr>
          <w:rFonts w:cstheme="minorHAnsi"/>
        </w:rPr>
        <w:t xml:space="preserve">implemented in eight different prisons in two different states.  </w:t>
      </w:r>
      <w:r w:rsidR="00A03CFB">
        <w:rPr>
          <w:rFonts w:cstheme="minorHAnsi"/>
        </w:rPr>
        <w:t>The curriculum utilized evidence</w:t>
      </w:r>
      <w:r w:rsidR="0029481A">
        <w:rPr>
          <w:rFonts w:cstheme="minorHAnsi"/>
        </w:rPr>
        <w:t>-</w:t>
      </w:r>
      <w:r w:rsidR="00A03CFB">
        <w:rPr>
          <w:rFonts w:cstheme="minorHAnsi"/>
        </w:rPr>
        <w:t xml:space="preserve">based </w:t>
      </w:r>
      <w:r w:rsidR="0029481A">
        <w:rPr>
          <w:rFonts w:cstheme="minorHAnsi"/>
        </w:rPr>
        <w:t>M</w:t>
      </w:r>
      <w:r w:rsidR="00A03CFB">
        <w:rPr>
          <w:rFonts w:cstheme="minorHAnsi"/>
        </w:rPr>
        <w:t>apping</w:t>
      </w:r>
      <w:r w:rsidR="0029481A">
        <w:rPr>
          <w:rFonts w:cstheme="minorHAnsi"/>
        </w:rPr>
        <w:t>-E</w:t>
      </w:r>
      <w:r w:rsidR="00A03CFB">
        <w:rPr>
          <w:rFonts w:cstheme="minorHAnsi"/>
        </w:rPr>
        <w:t xml:space="preserve">nhanced </w:t>
      </w:r>
      <w:r w:rsidR="0029481A">
        <w:rPr>
          <w:rFonts w:cstheme="minorHAnsi"/>
        </w:rPr>
        <w:t>C</w:t>
      </w:r>
      <w:r w:rsidR="00A03CFB">
        <w:rPr>
          <w:rFonts w:cstheme="minorHAnsi"/>
        </w:rPr>
        <w:t xml:space="preserve">ounseling strategies designed to help offenders make better decisions regarding health risk behaviors when they are released from incarceration back into the community.  This transitional period is one of high risk as offenders are faced with a variety of stresses they may not be prepared </w:t>
      </w:r>
      <w:r w:rsidR="0029481A">
        <w:rPr>
          <w:rFonts w:cstheme="minorHAnsi"/>
        </w:rPr>
        <w:t xml:space="preserve">to adequately handle, such as the </w:t>
      </w:r>
      <w:r w:rsidR="00A03CFB">
        <w:rPr>
          <w:rFonts w:cstheme="minorHAnsi"/>
        </w:rPr>
        <w:t>temptations for having</w:t>
      </w:r>
      <w:r w:rsidR="00650672">
        <w:rPr>
          <w:rFonts w:cstheme="minorHAnsi"/>
        </w:rPr>
        <w:t xml:space="preserve"> risky</w:t>
      </w:r>
      <w:r w:rsidR="00A03CFB">
        <w:rPr>
          <w:rFonts w:cstheme="minorHAnsi"/>
        </w:rPr>
        <w:t xml:space="preserve"> sex and using drugs.  </w:t>
      </w:r>
    </w:p>
    <w:p w:rsidR="00237496" w:rsidRDefault="0029481A" w:rsidP="00723575">
      <w:pPr>
        <w:pStyle w:val="NoSpacing"/>
        <w:spacing w:line="480" w:lineRule="auto"/>
        <w:ind w:firstLine="720"/>
        <w:rPr>
          <w:rFonts w:cstheme="minorHAnsi"/>
        </w:rPr>
      </w:pPr>
      <w:r>
        <w:rPr>
          <w:rFonts w:cstheme="minorHAnsi"/>
        </w:rPr>
        <w:t xml:space="preserve">Addressing the risks for </w:t>
      </w:r>
      <w:r w:rsidR="00237496">
        <w:rPr>
          <w:rFonts w:cstheme="minorHAnsi"/>
        </w:rPr>
        <w:t>HIV</w:t>
      </w:r>
      <w:r>
        <w:rPr>
          <w:rFonts w:cstheme="minorHAnsi"/>
        </w:rPr>
        <w:t xml:space="preserve"> and other infectious diseases should be included </w:t>
      </w:r>
      <w:r w:rsidR="00237496">
        <w:rPr>
          <w:rFonts w:cstheme="minorHAnsi"/>
        </w:rPr>
        <w:t xml:space="preserve">in substance abuse treatment programs, especially prison-based programs.  </w:t>
      </w:r>
      <w:r>
        <w:rPr>
          <w:rFonts w:cstheme="minorHAnsi"/>
        </w:rPr>
        <w:t xml:space="preserve">While </w:t>
      </w:r>
      <w:r w:rsidR="00237496">
        <w:rPr>
          <w:rFonts w:cstheme="minorHAnsi"/>
        </w:rPr>
        <w:t>basic information about HIV and how it is spread</w:t>
      </w:r>
      <w:r>
        <w:rPr>
          <w:rFonts w:cstheme="minorHAnsi"/>
        </w:rPr>
        <w:t xml:space="preserve"> often is included as part of prevention efforts, r</w:t>
      </w:r>
      <w:r w:rsidR="00237496">
        <w:rPr>
          <w:rFonts w:cstheme="minorHAnsi"/>
        </w:rPr>
        <w:t xml:space="preserve">arely do such programs go beyond basic education on HIV to identifying and planning for risks and temptations for HIV or HCV.  </w:t>
      </w:r>
      <w:r w:rsidR="00237496" w:rsidRPr="00237496">
        <w:rPr>
          <w:rFonts w:cstheme="minorHAnsi"/>
          <w:i/>
        </w:rPr>
        <w:t>WaySafe</w:t>
      </w:r>
      <w:r w:rsidR="00237496">
        <w:rPr>
          <w:rFonts w:cstheme="minorHAnsi"/>
        </w:rPr>
        <w:t xml:space="preserve"> was developed to help offenders make better decisions regarding these risks when they return to the community.  </w:t>
      </w:r>
      <w:r w:rsidR="00237496" w:rsidRPr="00CC4D2C">
        <w:rPr>
          <w:rFonts w:cstheme="minorHAnsi"/>
          <w:i/>
        </w:rPr>
        <w:t>WaySafe</w:t>
      </w:r>
      <w:r w:rsidR="00237496">
        <w:rPr>
          <w:rFonts w:cstheme="minorHAnsi"/>
        </w:rPr>
        <w:t xml:space="preserve"> use</w:t>
      </w:r>
      <w:r>
        <w:rPr>
          <w:rFonts w:cstheme="minorHAnsi"/>
        </w:rPr>
        <w:t>s</w:t>
      </w:r>
      <w:r w:rsidR="00237496">
        <w:rPr>
          <w:rFonts w:cstheme="minorHAnsi"/>
        </w:rPr>
        <w:t xml:space="preserve"> group-level discussions and activities </w:t>
      </w:r>
      <w:r w:rsidR="00CC4D2C">
        <w:rPr>
          <w:rFonts w:cstheme="minorHAnsi"/>
        </w:rPr>
        <w:t xml:space="preserve">to help offenders identify risks and risky situations, identify the consequences of different decisions, deal with differences in what they </w:t>
      </w:r>
      <w:r w:rsidR="00CC4D2C">
        <w:rPr>
          <w:rFonts w:cstheme="minorHAnsi"/>
        </w:rPr>
        <w:lastRenderedPageBreak/>
        <w:t xml:space="preserve">might want to do and what they should do, and help them develop plans for dealing with risks when they </w:t>
      </w:r>
      <w:r w:rsidR="00650672">
        <w:rPr>
          <w:rFonts w:cstheme="minorHAnsi"/>
        </w:rPr>
        <w:t>encounter</w:t>
      </w:r>
      <w:r w:rsidR="00CC4D2C">
        <w:rPr>
          <w:rFonts w:cstheme="minorHAnsi"/>
        </w:rPr>
        <w:t xml:space="preserve"> them.  </w:t>
      </w:r>
      <w:r w:rsidR="00CC4D2C" w:rsidRPr="00CC4D2C">
        <w:rPr>
          <w:rFonts w:cstheme="minorHAnsi"/>
          <w:i/>
        </w:rPr>
        <w:t>WaySafe</w:t>
      </w:r>
      <w:r w:rsidR="00CC4D2C">
        <w:rPr>
          <w:rFonts w:cstheme="minorHAnsi"/>
        </w:rPr>
        <w:t xml:space="preserve"> present</w:t>
      </w:r>
      <w:r>
        <w:rPr>
          <w:rFonts w:cstheme="minorHAnsi"/>
        </w:rPr>
        <w:t>s</w:t>
      </w:r>
      <w:r w:rsidR="00CC4D2C">
        <w:rPr>
          <w:rFonts w:cstheme="minorHAnsi"/>
        </w:rPr>
        <w:t xml:space="preserve"> these lessons using mapping enhanced counseling strategies that assist participants in </w:t>
      </w:r>
      <w:r w:rsidR="00E442FD">
        <w:rPr>
          <w:rFonts w:cstheme="minorHAnsi"/>
        </w:rPr>
        <w:t>discussing concepts related to risks and decision-making and consequences and the inter-relationshi</w:t>
      </w:r>
      <w:r w:rsidR="0029154D">
        <w:rPr>
          <w:rFonts w:cstheme="minorHAnsi"/>
        </w:rPr>
        <w:t>ps among those construct</w:t>
      </w:r>
      <w:r w:rsidR="00B77098">
        <w:rPr>
          <w:rFonts w:cstheme="minorHAnsi"/>
        </w:rPr>
        <w:t>s</w:t>
      </w:r>
      <w:r w:rsidR="0029154D">
        <w:rPr>
          <w:rFonts w:cstheme="minorHAnsi"/>
        </w:rPr>
        <w:t xml:space="preserve">.  And </w:t>
      </w:r>
      <w:r w:rsidR="00E442FD">
        <w:rPr>
          <w:rFonts w:cstheme="minorHAnsi"/>
        </w:rPr>
        <w:t>as discussed above, mapping strategies are effective for increasing client motivation, engagement, and participation and helps facilitate communication, memory, and problem-solving during sessions.  Mapping works well in group sessions by encouraging each member of the group to contribute to group maps.</w:t>
      </w:r>
    </w:p>
    <w:p w:rsidR="00E442FD" w:rsidRDefault="003E4926" w:rsidP="00723575">
      <w:pPr>
        <w:pStyle w:val="NoSpacing"/>
        <w:spacing w:line="480" w:lineRule="auto"/>
        <w:ind w:firstLine="720"/>
        <w:rPr>
          <w:rFonts w:cstheme="minorHAnsi"/>
        </w:rPr>
      </w:pPr>
      <w:r>
        <w:rPr>
          <w:rFonts w:cstheme="minorHAnsi"/>
        </w:rPr>
        <w:t xml:space="preserve">The six-session </w:t>
      </w:r>
      <w:r w:rsidRPr="003E4926">
        <w:rPr>
          <w:rFonts w:cstheme="minorHAnsi"/>
          <w:i/>
        </w:rPr>
        <w:t>WaySafe</w:t>
      </w:r>
      <w:r>
        <w:rPr>
          <w:rFonts w:cstheme="minorHAnsi"/>
        </w:rPr>
        <w:t xml:space="preserve"> curriculum was successfully implemented in </w:t>
      </w:r>
      <w:r w:rsidR="009D3FB4">
        <w:rPr>
          <w:rFonts w:cstheme="minorHAnsi"/>
        </w:rPr>
        <w:t xml:space="preserve">a diverse set of </w:t>
      </w:r>
      <w:r>
        <w:rPr>
          <w:rFonts w:cstheme="minorHAnsi"/>
        </w:rPr>
        <w:t xml:space="preserve">eight different </w:t>
      </w:r>
      <w:r w:rsidR="008C1A72">
        <w:rPr>
          <w:rFonts w:cstheme="minorHAnsi"/>
        </w:rPr>
        <w:t>prison</w:t>
      </w:r>
      <w:r>
        <w:rPr>
          <w:rFonts w:cstheme="minorHAnsi"/>
        </w:rPr>
        <w:t>-based substance abuse treatment programs in two different states.  These eight facilities differed by gender (</w:t>
      </w:r>
      <w:r w:rsidR="00065004">
        <w:rPr>
          <w:rFonts w:cstheme="minorHAnsi"/>
        </w:rPr>
        <w:t>three</w:t>
      </w:r>
      <w:r>
        <w:rPr>
          <w:rFonts w:cstheme="minorHAnsi"/>
        </w:rPr>
        <w:t xml:space="preserve"> were all female and </w:t>
      </w:r>
      <w:r w:rsidR="00065004">
        <w:rPr>
          <w:rFonts w:cstheme="minorHAnsi"/>
        </w:rPr>
        <w:t>five</w:t>
      </w:r>
      <w:r>
        <w:rPr>
          <w:rFonts w:cstheme="minorHAnsi"/>
        </w:rPr>
        <w:t xml:space="preserve"> were all male), target population (</w:t>
      </w:r>
      <w:r w:rsidR="00B42136">
        <w:rPr>
          <w:rFonts w:cstheme="minorHAnsi"/>
        </w:rPr>
        <w:t>one</w:t>
      </w:r>
      <w:r>
        <w:rPr>
          <w:rFonts w:cstheme="minorHAnsi"/>
        </w:rPr>
        <w:t xml:space="preserve"> </w:t>
      </w:r>
      <w:r w:rsidR="00065004">
        <w:rPr>
          <w:rFonts w:cstheme="minorHAnsi"/>
        </w:rPr>
        <w:t>facility</w:t>
      </w:r>
      <w:r>
        <w:rPr>
          <w:rFonts w:cstheme="minorHAnsi"/>
        </w:rPr>
        <w:t xml:space="preserve"> w</w:t>
      </w:r>
      <w:r w:rsidR="00B42136">
        <w:rPr>
          <w:rFonts w:cstheme="minorHAnsi"/>
        </w:rPr>
        <w:t>as</w:t>
      </w:r>
      <w:r>
        <w:rPr>
          <w:rFonts w:cstheme="minorHAnsi"/>
        </w:rPr>
        <w:t xml:space="preserve"> </w:t>
      </w:r>
      <w:r w:rsidR="00B42136">
        <w:rPr>
          <w:rFonts w:cstheme="minorHAnsi"/>
        </w:rPr>
        <w:t xml:space="preserve">a </w:t>
      </w:r>
      <w:r>
        <w:rPr>
          <w:rFonts w:cstheme="minorHAnsi"/>
        </w:rPr>
        <w:t xml:space="preserve">special needs program), length of program (from 6 month to 24 month programs), and treatment vendor.  </w:t>
      </w:r>
      <w:r w:rsidR="009D3FB4">
        <w:rPr>
          <w:rFonts w:cstheme="minorHAnsi"/>
        </w:rPr>
        <w:t xml:space="preserve">Results in this study demonstrated that </w:t>
      </w:r>
      <w:r w:rsidR="00355D90">
        <w:rPr>
          <w:rFonts w:cstheme="minorHAnsi"/>
        </w:rPr>
        <w:t xml:space="preserve">participants who attended </w:t>
      </w:r>
      <w:r w:rsidR="00355D90" w:rsidRPr="00355D90">
        <w:rPr>
          <w:rFonts w:cstheme="minorHAnsi"/>
          <w:i/>
        </w:rPr>
        <w:t>WaySafe</w:t>
      </w:r>
      <w:r w:rsidR="00355D90">
        <w:rPr>
          <w:rFonts w:cstheme="minorHAnsi"/>
        </w:rPr>
        <w:t xml:space="preserve"> sessions had better attitudes at post-test regarding their knowledge, confidence, and motivation around HIV knowledge, avoiding risky sex and risky drug use, risk reduction skills, and their knowledge and motivation regarding HIV testing service</w:t>
      </w:r>
      <w:r w:rsidR="00065004">
        <w:rPr>
          <w:rFonts w:cstheme="minorHAnsi"/>
        </w:rPr>
        <w:t>s</w:t>
      </w:r>
      <w:r w:rsidR="00355D90">
        <w:rPr>
          <w:rFonts w:cstheme="minorHAnsi"/>
        </w:rPr>
        <w:t xml:space="preserve">.  For example, </w:t>
      </w:r>
      <w:r w:rsidR="00355D90" w:rsidRPr="001432A7">
        <w:rPr>
          <w:rFonts w:cstheme="minorHAnsi"/>
          <w:i/>
        </w:rPr>
        <w:t>WayS</w:t>
      </w:r>
      <w:r w:rsidR="001432A7" w:rsidRPr="001432A7">
        <w:rPr>
          <w:rFonts w:cstheme="minorHAnsi"/>
          <w:i/>
        </w:rPr>
        <w:t>a</w:t>
      </w:r>
      <w:r w:rsidR="00355D90" w:rsidRPr="001432A7">
        <w:rPr>
          <w:rFonts w:cstheme="minorHAnsi"/>
          <w:i/>
        </w:rPr>
        <w:t>fe</w:t>
      </w:r>
      <w:r w:rsidR="00355D90">
        <w:rPr>
          <w:rFonts w:cstheme="minorHAnsi"/>
        </w:rPr>
        <w:t xml:space="preserve"> participants were more</w:t>
      </w:r>
      <w:r w:rsidR="001432A7">
        <w:rPr>
          <w:rFonts w:cstheme="minorHAnsi"/>
        </w:rPr>
        <w:t xml:space="preserve"> </w:t>
      </w:r>
      <w:r w:rsidR="00355D90">
        <w:rPr>
          <w:rFonts w:cstheme="minorHAnsi"/>
        </w:rPr>
        <w:t>like</w:t>
      </w:r>
      <w:r w:rsidR="001432A7">
        <w:rPr>
          <w:rFonts w:cstheme="minorHAnsi"/>
        </w:rPr>
        <w:t>l</w:t>
      </w:r>
      <w:r w:rsidR="00355D90">
        <w:rPr>
          <w:rFonts w:cstheme="minorHAnsi"/>
        </w:rPr>
        <w:t>y than</w:t>
      </w:r>
      <w:r w:rsidR="001432A7">
        <w:rPr>
          <w:rFonts w:cstheme="minorHAnsi"/>
        </w:rPr>
        <w:t xml:space="preserve"> offenders who received TAU to report that they know enough to teach others about how to avoid getting HIV from sexual activities, that they feel more confident in talking to a sexual partner about HIV risks, and that they are more motivated to talk to others about their HIV risks.   </w:t>
      </w:r>
      <w:r w:rsidR="001432A7" w:rsidRPr="001432A7">
        <w:rPr>
          <w:rFonts w:cstheme="minorHAnsi"/>
          <w:i/>
        </w:rPr>
        <w:t>WaySafe</w:t>
      </w:r>
      <w:r w:rsidR="001432A7">
        <w:rPr>
          <w:rFonts w:cstheme="minorHAnsi"/>
        </w:rPr>
        <w:t xml:space="preserve"> participants were more likely to report that they had learned that it may be necessary to reduce their enjoyment in order to avoid risky sex, that their confidence in managing emotions in sexual situations had increased, and that they had become more motivated to protect their sexual partner from HIV risks.</w:t>
      </w:r>
    </w:p>
    <w:p w:rsidR="000C2EEB" w:rsidRDefault="000C2EEB" w:rsidP="00723575">
      <w:pPr>
        <w:pStyle w:val="NoSpacing"/>
        <w:spacing w:line="480" w:lineRule="auto"/>
        <w:ind w:firstLine="720"/>
        <w:rPr>
          <w:rFonts w:cstheme="minorHAnsi"/>
        </w:rPr>
      </w:pPr>
      <w:r>
        <w:rPr>
          <w:rFonts w:cstheme="minorHAnsi"/>
        </w:rPr>
        <w:t>Analyses at the facility level also supported</w:t>
      </w:r>
      <w:r w:rsidR="0029481A">
        <w:rPr>
          <w:rFonts w:cstheme="minorHAnsi"/>
        </w:rPr>
        <w:t xml:space="preserve"> the effectiveness of </w:t>
      </w:r>
      <w:r w:rsidRPr="000C2EEB">
        <w:rPr>
          <w:rFonts w:cstheme="minorHAnsi"/>
          <w:i/>
        </w:rPr>
        <w:t>WaySafe</w:t>
      </w:r>
      <w:r>
        <w:rPr>
          <w:rFonts w:cstheme="minorHAnsi"/>
        </w:rPr>
        <w:t xml:space="preserve"> at improving knowledge, motivation, and confidence around HIV, avoiding risky behaviors, and risk reduction skills.  There were significant differences between </w:t>
      </w:r>
      <w:r w:rsidRPr="000C2EEB">
        <w:rPr>
          <w:rFonts w:cstheme="minorHAnsi"/>
          <w:i/>
        </w:rPr>
        <w:t>Waysafe</w:t>
      </w:r>
      <w:r>
        <w:rPr>
          <w:rFonts w:cstheme="minorHAnsi"/>
        </w:rPr>
        <w:t xml:space="preserve"> and TAU participants on all five scales in four </w:t>
      </w:r>
      <w:r w:rsidR="00065004">
        <w:rPr>
          <w:rFonts w:cstheme="minorHAnsi"/>
        </w:rPr>
        <w:t>and</w:t>
      </w:r>
      <w:r>
        <w:rPr>
          <w:rFonts w:cstheme="minorHAnsi"/>
        </w:rPr>
        <w:t xml:space="preserve"> </w:t>
      </w:r>
      <w:r>
        <w:rPr>
          <w:rFonts w:cstheme="minorHAnsi"/>
        </w:rPr>
        <w:lastRenderedPageBreak/>
        <w:t xml:space="preserve">significant differences in </w:t>
      </w:r>
      <w:r w:rsidR="00065004">
        <w:rPr>
          <w:rFonts w:cstheme="minorHAnsi"/>
        </w:rPr>
        <w:t xml:space="preserve">the other four facilities but </w:t>
      </w:r>
      <w:r>
        <w:rPr>
          <w:rFonts w:cstheme="minorHAnsi"/>
        </w:rPr>
        <w:t xml:space="preserve">not for all of the scales.  It is not clear what might have accounted for </w:t>
      </w:r>
      <w:r w:rsidR="00065004">
        <w:rPr>
          <w:rFonts w:cstheme="minorHAnsi"/>
        </w:rPr>
        <w:t xml:space="preserve">the facility-level </w:t>
      </w:r>
      <w:r>
        <w:rPr>
          <w:rFonts w:cstheme="minorHAnsi"/>
        </w:rPr>
        <w:t xml:space="preserve">differences but even so, positive results were found in all of the facilities in which </w:t>
      </w:r>
      <w:r w:rsidRPr="00B81930">
        <w:rPr>
          <w:rFonts w:cstheme="minorHAnsi"/>
          <w:i/>
        </w:rPr>
        <w:t>WaySafe</w:t>
      </w:r>
      <w:r>
        <w:rPr>
          <w:rFonts w:cstheme="minorHAnsi"/>
        </w:rPr>
        <w:t xml:space="preserve"> was implemented</w:t>
      </w:r>
      <w:r w:rsidR="008D5D32">
        <w:rPr>
          <w:rFonts w:cstheme="minorHAnsi"/>
        </w:rPr>
        <w:t xml:space="preserve"> demonstrating its robustness in different contexts</w:t>
      </w:r>
      <w:r>
        <w:rPr>
          <w:rFonts w:cstheme="minorHAnsi"/>
        </w:rPr>
        <w:t xml:space="preserve">.  </w:t>
      </w:r>
      <w:r w:rsidR="00C51BBA">
        <w:rPr>
          <w:rFonts w:cstheme="minorHAnsi"/>
        </w:rPr>
        <w:t>Given the large differences in sample size fro the different facilities, we examined whether these differences might be a function of statistical power but observed that the facilities with the larger sample sizes tended to be those that did not have statistical differences on all five of the scales.</w:t>
      </w:r>
    </w:p>
    <w:p w:rsidR="00D3243B" w:rsidRPr="00D3243B" w:rsidRDefault="00D3243B" w:rsidP="00D3243B">
      <w:pPr>
        <w:pStyle w:val="NoSpacing"/>
        <w:spacing w:line="480" w:lineRule="auto"/>
        <w:rPr>
          <w:rFonts w:cstheme="minorHAnsi"/>
          <w:i/>
        </w:rPr>
      </w:pPr>
      <w:r w:rsidRPr="00D3243B">
        <w:rPr>
          <w:rFonts w:cstheme="minorHAnsi"/>
          <w:i/>
        </w:rPr>
        <w:t xml:space="preserve">4.1. </w:t>
      </w:r>
      <w:r w:rsidR="009F42BF" w:rsidRPr="00D3243B">
        <w:rPr>
          <w:rFonts w:cstheme="minorHAnsi"/>
          <w:i/>
        </w:rPr>
        <w:t>Limitations</w:t>
      </w:r>
    </w:p>
    <w:p w:rsidR="009F42BF" w:rsidRDefault="0029481A" w:rsidP="00723575">
      <w:pPr>
        <w:pStyle w:val="NoSpacing"/>
        <w:spacing w:line="480" w:lineRule="auto"/>
        <w:ind w:firstLine="720"/>
        <w:rPr>
          <w:rFonts w:cstheme="minorHAnsi"/>
        </w:rPr>
      </w:pPr>
      <w:r>
        <w:rPr>
          <w:rFonts w:cstheme="minorHAnsi"/>
        </w:rPr>
        <w:t>L</w:t>
      </w:r>
      <w:r w:rsidR="009F42BF">
        <w:rPr>
          <w:rFonts w:cstheme="minorHAnsi"/>
        </w:rPr>
        <w:t>imitations of this study should be noted.  First</w:t>
      </w:r>
      <w:r>
        <w:rPr>
          <w:rFonts w:cstheme="minorHAnsi"/>
        </w:rPr>
        <w:t>,</w:t>
      </w:r>
      <w:r w:rsidR="009F42BF">
        <w:rPr>
          <w:rFonts w:cstheme="minorHAnsi"/>
        </w:rPr>
        <w:t xml:space="preserve"> the post-test scores are attitudinal and do not measure what respondents will do once they are released back into the community.  However, the theory of reasoned action postulates that intentions are the best predictor of behavior and improvements in knowledge, confidence and motivation for making better decisions about risks should be precursors to less risky behaviors in the community.  Another limitation is that the curriculum </w:t>
      </w:r>
      <w:r w:rsidR="009E7E8F">
        <w:rPr>
          <w:rFonts w:cstheme="minorHAnsi"/>
        </w:rPr>
        <w:t xml:space="preserve">occurred at the end of substance abuse treatment after offenders had received at least some required HIV programming, which typically is didactic lectures presenting information on HIV.  Even at pre-test, scores on the five </w:t>
      </w:r>
      <w:r w:rsidR="009E7E8F" w:rsidRPr="009E7E8F">
        <w:rPr>
          <w:rFonts w:cstheme="minorHAnsi"/>
          <w:i/>
        </w:rPr>
        <w:t>WaySafe</w:t>
      </w:r>
      <w:r w:rsidR="009E7E8F">
        <w:rPr>
          <w:rFonts w:cstheme="minorHAnsi"/>
        </w:rPr>
        <w:t xml:space="preserve"> scales were relatively high leaving less room for improvement for offenders completing the </w:t>
      </w:r>
      <w:r w:rsidR="009E7E8F" w:rsidRPr="009E7E8F">
        <w:rPr>
          <w:rFonts w:cstheme="minorHAnsi"/>
          <w:i/>
        </w:rPr>
        <w:t>WaySafe</w:t>
      </w:r>
      <w:r w:rsidR="009E7E8F">
        <w:rPr>
          <w:rFonts w:cstheme="minorHAnsi"/>
        </w:rPr>
        <w:t xml:space="preserve"> curriculum.  Even so, significant improvements were found on all scales and in all of the eight facilities.  A third limitation is that the curriculum was implemented in </w:t>
      </w:r>
      <w:r w:rsidR="00C55699" w:rsidRPr="00065004">
        <w:rPr>
          <w:rFonts w:cstheme="minorHAnsi"/>
        </w:rPr>
        <w:t>only</w:t>
      </w:r>
      <w:r w:rsidR="00C55699">
        <w:rPr>
          <w:rFonts w:cstheme="minorHAnsi"/>
          <w:color w:val="FF0000"/>
        </w:rPr>
        <w:t xml:space="preserve"> </w:t>
      </w:r>
      <w:r w:rsidR="009E7E8F">
        <w:rPr>
          <w:rFonts w:cstheme="minorHAnsi"/>
        </w:rPr>
        <w:t xml:space="preserve">two different states in </w:t>
      </w:r>
      <w:r w:rsidR="00C55699" w:rsidRPr="005F355B">
        <w:rPr>
          <w:rFonts w:cstheme="minorHAnsi"/>
        </w:rPr>
        <w:t xml:space="preserve">prison-based </w:t>
      </w:r>
      <w:r w:rsidR="009E7E8F">
        <w:rPr>
          <w:rFonts w:cstheme="minorHAnsi"/>
        </w:rPr>
        <w:t xml:space="preserve">substance abuse treatment facilities.  Results could be different in other regions of the country where prison policies may be different.  </w:t>
      </w:r>
    </w:p>
    <w:p w:rsidR="00D3243B" w:rsidRPr="00D3243B" w:rsidRDefault="00D3243B" w:rsidP="00D3243B">
      <w:pPr>
        <w:pStyle w:val="NoSpacing"/>
        <w:spacing w:line="480" w:lineRule="auto"/>
        <w:rPr>
          <w:rFonts w:cstheme="minorHAnsi"/>
          <w:i/>
        </w:rPr>
      </w:pPr>
      <w:r w:rsidRPr="00D3243B">
        <w:rPr>
          <w:rFonts w:cstheme="minorHAnsi"/>
          <w:i/>
        </w:rPr>
        <w:t xml:space="preserve">4.2. </w:t>
      </w:r>
      <w:r w:rsidR="009E7E8F" w:rsidRPr="00D3243B">
        <w:rPr>
          <w:rFonts w:cstheme="minorHAnsi"/>
          <w:i/>
        </w:rPr>
        <w:t>Conclusions and future research</w:t>
      </w:r>
    </w:p>
    <w:p w:rsidR="009E7E8F" w:rsidRDefault="009E7E8F" w:rsidP="00723575">
      <w:pPr>
        <w:pStyle w:val="NoSpacing"/>
        <w:spacing w:line="480" w:lineRule="auto"/>
        <w:ind w:firstLine="720"/>
        <w:rPr>
          <w:rFonts w:cstheme="minorHAnsi"/>
        </w:rPr>
      </w:pPr>
      <w:r>
        <w:rPr>
          <w:rFonts w:cstheme="minorHAnsi"/>
        </w:rPr>
        <w:t xml:space="preserve">Overall, the results of this study demonstrated the effectiveness </w:t>
      </w:r>
      <w:r w:rsidR="0029481A">
        <w:rPr>
          <w:rFonts w:cstheme="minorHAnsi"/>
        </w:rPr>
        <w:t xml:space="preserve">of the </w:t>
      </w:r>
      <w:r w:rsidR="0029481A">
        <w:rPr>
          <w:rFonts w:cstheme="minorHAnsi"/>
          <w:i/>
        </w:rPr>
        <w:t>WaySafe</w:t>
      </w:r>
      <w:r w:rsidR="0027413F">
        <w:rPr>
          <w:rFonts w:cstheme="minorHAnsi"/>
        </w:rPr>
        <w:t xml:space="preserve"> curriculum </w:t>
      </w:r>
      <w:r>
        <w:rPr>
          <w:rFonts w:cstheme="minorHAnsi"/>
        </w:rPr>
        <w:t xml:space="preserve">in a variety of prison-based substance abuse treatment programs to improve decision-making regarding HIV risk behaviors in terms of improving knowledge, confidence and motivation for avoiding risks.  </w:t>
      </w:r>
      <w:r w:rsidR="0027413F">
        <w:rPr>
          <w:rFonts w:cstheme="minorHAnsi"/>
        </w:rPr>
        <w:t xml:space="preserve">Future research </w:t>
      </w:r>
      <w:r w:rsidR="00DE58BA">
        <w:rPr>
          <w:rFonts w:cstheme="minorHAnsi"/>
        </w:rPr>
        <w:t xml:space="preserve">should </w:t>
      </w:r>
      <w:r w:rsidR="0027413F">
        <w:rPr>
          <w:rFonts w:cstheme="minorHAnsi"/>
        </w:rPr>
        <w:t xml:space="preserve">follow participants into the community to assess whether these changes are sustainable </w:t>
      </w:r>
      <w:r w:rsidR="0027413F">
        <w:rPr>
          <w:rFonts w:cstheme="minorHAnsi"/>
        </w:rPr>
        <w:lastRenderedPageBreak/>
        <w:t>in the community and the extent to which they are related to reduced risk behaviors.  Finding new methods to reinforce the lessons learned in the community is a critical next step because these changes in attitudes and intentions will degrade over time especially with the stress and pressures of transitioning from prison back into the community</w:t>
      </w:r>
      <w:r w:rsidR="00DE58BA">
        <w:rPr>
          <w:rFonts w:cstheme="minorHAnsi"/>
        </w:rPr>
        <w:t xml:space="preserve"> and reinforcing lessons learned while offenders are currently facing risky situations may be helpful.  And future research needs to examine how programs are able to implement and utilize </w:t>
      </w:r>
      <w:r w:rsidR="00DE58BA" w:rsidRPr="00A965B5">
        <w:rPr>
          <w:rFonts w:cstheme="minorHAnsi"/>
          <w:i/>
        </w:rPr>
        <w:t>WaySafe</w:t>
      </w:r>
      <w:r w:rsidR="00DE58BA">
        <w:rPr>
          <w:rFonts w:cstheme="minorHAnsi"/>
        </w:rPr>
        <w:t xml:space="preserve">.  Although it is designed as a </w:t>
      </w:r>
      <w:r w:rsidR="00B77098">
        <w:rPr>
          <w:rFonts w:cstheme="minorHAnsi"/>
        </w:rPr>
        <w:t>six</w:t>
      </w:r>
      <w:r w:rsidR="00DE58BA">
        <w:rPr>
          <w:rFonts w:cstheme="minorHAnsi"/>
        </w:rPr>
        <w:t xml:space="preserve">-session package, programs frequently do not have the resources – time, space, staffing – to fully implement all sessions.  </w:t>
      </w:r>
      <w:r w:rsidR="0029481A">
        <w:rPr>
          <w:rFonts w:cstheme="minorHAnsi"/>
        </w:rPr>
        <w:t>For example, treatment providers often</w:t>
      </w:r>
      <w:r w:rsidR="00DE58BA">
        <w:rPr>
          <w:rFonts w:cstheme="minorHAnsi"/>
        </w:rPr>
        <w:t xml:space="preserve"> are limited by contract in terms of how many hours of programming are available and the curriculums they are allowed to use.  </w:t>
      </w:r>
      <w:r w:rsidR="00B77098">
        <w:rPr>
          <w:rFonts w:cstheme="minorHAnsi"/>
        </w:rPr>
        <w:t>R</w:t>
      </w:r>
      <w:r w:rsidR="00DE58BA">
        <w:rPr>
          <w:rFonts w:cstheme="minorHAnsi"/>
        </w:rPr>
        <w:t xml:space="preserve">esearch on how </w:t>
      </w:r>
      <w:r w:rsidR="00DE58BA" w:rsidRPr="00DE58BA">
        <w:rPr>
          <w:rFonts w:cstheme="minorHAnsi"/>
          <w:i/>
        </w:rPr>
        <w:t>WaySafe</w:t>
      </w:r>
      <w:r w:rsidR="00DE58BA">
        <w:rPr>
          <w:rFonts w:cstheme="minorHAnsi"/>
        </w:rPr>
        <w:t xml:space="preserve"> is implemented, as a whole package or pieces, and how it is incorporated into existing programming is important.</w:t>
      </w:r>
    </w:p>
    <w:p w:rsidR="008A471B" w:rsidRPr="009373D6" w:rsidRDefault="008A471B" w:rsidP="00065004">
      <w:pPr>
        <w:pStyle w:val="NoSpacing"/>
        <w:keepNext/>
        <w:spacing w:line="480" w:lineRule="auto"/>
        <w:rPr>
          <w:b/>
        </w:rPr>
      </w:pPr>
      <w:r w:rsidRPr="009373D6">
        <w:rPr>
          <w:b/>
        </w:rPr>
        <w:t>Acknowledgement</w:t>
      </w:r>
      <w:r w:rsidR="00D3243B">
        <w:rPr>
          <w:b/>
        </w:rPr>
        <w:t>s</w:t>
      </w:r>
    </w:p>
    <w:p w:rsidR="008A471B" w:rsidRPr="009E32D2" w:rsidRDefault="008A471B" w:rsidP="008A471B">
      <w:pPr>
        <w:pStyle w:val="NoSpacing"/>
        <w:spacing w:line="480" w:lineRule="auto"/>
      </w:pPr>
      <w:r w:rsidRPr="009E32D2">
        <w:t>Funding</w:t>
      </w:r>
      <w:r>
        <w:t xml:space="preserve"> for this study </w:t>
      </w:r>
      <w:r w:rsidRPr="009E32D2">
        <w:t xml:space="preserve">was provided by the National Institute on Drug Abuse, National Institutes of Health (NIDA/NIH) through a grant to Texas Christian University </w:t>
      </w:r>
      <w:r>
        <w:t>(</w:t>
      </w:r>
      <w:r w:rsidRPr="009E32D2">
        <w:t>R01DA025885</w:t>
      </w:r>
      <w:r>
        <w:t>; Wayne E.K. Lehman, Principal Investigator)</w:t>
      </w:r>
      <w:r w:rsidRPr="009E32D2">
        <w:t xml:space="preserve">. </w:t>
      </w:r>
      <w:r>
        <w:t xml:space="preserve"> Interpretations and conclusions in this paper are entirely those of the authors and do not necessarily reflect the position of NIDA/NIH or the Department of Health and Human Services.</w:t>
      </w:r>
    </w:p>
    <w:p w:rsidR="0099758A" w:rsidRPr="0099758A" w:rsidRDefault="00A11CB8" w:rsidP="00D3243B">
      <w:pPr>
        <w:spacing w:line="480" w:lineRule="auto"/>
        <w:rPr>
          <w:rFonts w:cstheme="minorHAnsi"/>
          <w:b/>
        </w:rPr>
      </w:pPr>
      <w:r>
        <w:rPr>
          <w:rFonts w:cstheme="minorHAnsi"/>
        </w:rPr>
        <w:br w:type="page"/>
      </w:r>
      <w:r w:rsidR="0099758A" w:rsidRPr="0099758A">
        <w:rPr>
          <w:rFonts w:cstheme="minorHAnsi"/>
          <w:b/>
        </w:rPr>
        <w:lastRenderedPageBreak/>
        <w:t>References</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 xml:space="preserve">Ajzen, I. &amp; Fishbein, M. (1980). </w:t>
      </w:r>
      <w:r w:rsidRPr="0099758A">
        <w:rPr>
          <w:rFonts w:eastAsia="Times New Roman" w:cstheme="minorHAnsi"/>
          <w:i/>
          <w:iCs/>
        </w:rPr>
        <w:t>Understanding attitudes and predicting social behavior</w:t>
      </w:r>
      <w:r w:rsidRPr="0099758A">
        <w:rPr>
          <w:rFonts w:eastAsia="Times New Roman" w:cstheme="minorHAnsi"/>
        </w:rPr>
        <w:t>. Englewood Cliffs, NJ: Prentice-Hall.</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 xml:space="preserve">Bartholomew, N. G., Hiller, M. L., Knight, K., Nucatola, D. C., &amp; Simpson, D. D. (2000). Effectiveness of communication and relationship skills training for men in substance abuse treatment. </w:t>
      </w:r>
      <w:r w:rsidRPr="0099758A">
        <w:rPr>
          <w:rFonts w:eastAsia="Times New Roman" w:cstheme="minorHAnsi"/>
          <w:iCs/>
        </w:rPr>
        <w:t xml:space="preserve">Journal of Substance Abuse Treatment, </w:t>
      </w:r>
      <w:r w:rsidRPr="0099758A">
        <w:rPr>
          <w:rFonts w:eastAsia="Times New Roman" w:cstheme="minorHAnsi"/>
          <w:i/>
          <w:iCs/>
        </w:rPr>
        <w:t>18</w:t>
      </w:r>
      <w:r w:rsidRPr="0099758A">
        <w:rPr>
          <w:rFonts w:eastAsia="Times New Roman" w:cstheme="minorHAnsi"/>
        </w:rPr>
        <w:t xml:space="preserve">(3), 217-225. </w:t>
      </w:r>
    </w:p>
    <w:p w:rsidR="0099758A" w:rsidRPr="0099758A" w:rsidRDefault="0099758A" w:rsidP="0099758A">
      <w:pPr>
        <w:pStyle w:val="NoSpacing"/>
        <w:spacing w:line="480" w:lineRule="auto"/>
        <w:ind w:left="720" w:hanging="720"/>
        <w:rPr>
          <w:rFonts w:cstheme="minorHAnsi"/>
        </w:rPr>
      </w:pPr>
      <w:r w:rsidRPr="0099758A">
        <w:rPr>
          <w:rFonts w:cstheme="minorHAnsi"/>
        </w:rPr>
        <w:t xml:space="preserve">Bauserman, R. L., Richardson, D., Ward, M, Shea, M., Bowlin, C., Tomoyasu N. et al. (2003). HIV prevention with jail and prison inmates: Maryland's Prevention Case Management program. </w:t>
      </w:r>
      <w:r w:rsidRPr="0099758A">
        <w:rPr>
          <w:rFonts w:cstheme="minorHAnsi"/>
          <w:i/>
          <w:iCs/>
        </w:rPr>
        <w:t xml:space="preserve">AIDS Education and Prevention, </w:t>
      </w:r>
      <w:r w:rsidRPr="0099758A">
        <w:rPr>
          <w:rFonts w:cstheme="minorHAnsi"/>
          <w:i/>
        </w:rPr>
        <w:t>5</w:t>
      </w:r>
      <w:r w:rsidRPr="0099758A">
        <w:rPr>
          <w:rFonts w:cstheme="minorHAnsi"/>
        </w:rPr>
        <w:t>(5), 465-480.</w:t>
      </w:r>
    </w:p>
    <w:p w:rsidR="0099758A" w:rsidRPr="0099758A" w:rsidRDefault="0099758A" w:rsidP="0099758A">
      <w:pPr>
        <w:autoSpaceDE w:val="0"/>
        <w:autoSpaceDN w:val="0"/>
        <w:adjustRightInd w:val="0"/>
        <w:spacing w:line="480" w:lineRule="auto"/>
        <w:ind w:left="720" w:hanging="720"/>
        <w:rPr>
          <w:rFonts w:cstheme="minorHAnsi"/>
        </w:rPr>
      </w:pPr>
      <w:r w:rsidRPr="0099758A">
        <w:rPr>
          <w:rFonts w:cstheme="minorHAnsi"/>
        </w:rPr>
        <w:t xml:space="preserve">Bonczar, T. P. (1997). </w:t>
      </w:r>
      <w:r w:rsidRPr="0099758A">
        <w:rPr>
          <w:rFonts w:cstheme="minorHAnsi"/>
          <w:i/>
          <w:iCs/>
        </w:rPr>
        <w:t xml:space="preserve">Characteristics of adults on probation, 1995 </w:t>
      </w:r>
      <w:r w:rsidRPr="0099758A">
        <w:rPr>
          <w:rFonts w:cstheme="minorHAnsi"/>
        </w:rPr>
        <w:t>(Bureau of Justice Statistics, NCJ-164267). Washington, DC: U.S. Department of Justice, Office of Justice Program.</w:t>
      </w:r>
    </w:p>
    <w:p w:rsidR="0099758A" w:rsidRPr="0099758A" w:rsidRDefault="0099758A" w:rsidP="0099758A">
      <w:pPr>
        <w:autoSpaceDE w:val="0"/>
        <w:autoSpaceDN w:val="0"/>
        <w:adjustRightInd w:val="0"/>
        <w:spacing w:line="480" w:lineRule="auto"/>
        <w:ind w:left="720" w:hanging="720"/>
        <w:rPr>
          <w:rFonts w:cstheme="minorHAnsi"/>
        </w:rPr>
      </w:pPr>
      <w:r w:rsidRPr="0099758A">
        <w:rPr>
          <w:rFonts w:cstheme="minorHAnsi"/>
        </w:rPr>
        <w:t xml:space="preserve">Bureau of Justice Statistics. (2004, July). Almost 6.9 million on probation or parole or incarcerated in U.S. prisons or jails. Retrieved December 13, 2012, from </w:t>
      </w:r>
      <w:hyperlink r:id="rId9" w:history="1">
        <w:r w:rsidRPr="0099758A">
          <w:rPr>
            <w:rStyle w:val="Hyperlink"/>
            <w:rFonts w:cstheme="minorHAnsi"/>
          </w:rPr>
          <w:t>http://www.bjs.gov/index.cfm?ty=pbdetail&amp;iid=487</w:t>
        </w:r>
      </w:hyperlink>
    </w:p>
    <w:p w:rsidR="0099758A" w:rsidRPr="009D4AB7" w:rsidRDefault="0099758A" w:rsidP="0099758A">
      <w:pPr>
        <w:pStyle w:val="NoSpacing"/>
        <w:spacing w:line="480" w:lineRule="auto"/>
        <w:ind w:left="720" w:hanging="720"/>
        <w:rPr>
          <w:rFonts w:cstheme="minorHAnsi"/>
        </w:rPr>
      </w:pPr>
      <w:r w:rsidRPr="009D4AB7">
        <w:rPr>
          <w:rFonts w:cstheme="minorHAnsi"/>
        </w:rPr>
        <w:t xml:space="preserve">CDC (Centers for Disease Control and Prevention). (2011). </w:t>
      </w:r>
      <w:r w:rsidR="0034459D">
        <w:rPr>
          <w:rFonts w:cstheme="minorHAnsi"/>
        </w:rPr>
        <w:t xml:space="preserve"> </w:t>
      </w:r>
      <w:r w:rsidRPr="009D4AB7">
        <w:rPr>
          <w:rFonts w:cstheme="minorHAnsi"/>
        </w:rPr>
        <w:t xml:space="preserve">Correctional facilities and viral hepatitis. Retrieved </w:t>
      </w:r>
      <w:r w:rsidR="009D4AB7" w:rsidRPr="009D4AB7">
        <w:rPr>
          <w:rFonts w:cstheme="minorHAnsi"/>
        </w:rPr>
        <w:t xml:space="preserve">November </w:t>
      </w:r>
      <w:r w:rsidRPr="009D4AB7">
        <w:rPr>
          <w:rFonts w:cstheme="minorHAnsi"/>
        </w:rPr>
        <w:t>1</w:t>
      </w:r>
      <w:r w:rsidR="009D4AB7" w:rsidRPr="009D4AB7">
        <w:rPr>
          <w:rFonts w:cstheme="minorHAnsi"/>
        </w:rPr>
        <w:t>5</w:t>
      </w:r>
      <w:r w:rsidRPr="009D4AB7">
        <w:rPr>
          <w:rFonts w:cstheme="minorHAnsi"/>
        </w:rPr>
        <w:t>, 201</w:t>
      </w:r>
      <w:r w:rsidR="009D4AB7" w:rsidRPr="009D4AB7">
        <w:rPr>
          <w:rFonts w:cstheme="minorHAnsi"/>
        </w:rPr>
        <w:t>3</w:t>
      </w:r>
      <w:r w:rsidRPr="009D4AB7">
        <w:rPr>
          <w:rFonts w:cstheme="minorHAnsi"/>
        </w:rPr>
        <w:t xml:space="preserve"> from </w:t>
      </w:r>
      <w:hyperlink r:id="rId10" w:history="1">
        <w:r w:rsidRPr="009D4AB7">
          <w:rPr>
            <w:rStyle w:val="Hyperlink"/>
            <w:rFonts w:cstheme="minorHAnsi"/>
            <w:color w:val="auto"/>
          </w:rPr>
          <w:t>http://www.CDC.gov/hepatitis/settings/corrections.htm</w:t>
        </w:r>
      </w:hyperlink>
    </w:p>
    <w:p w:rsidR="0099758A" w:rsidRPr="0099758A" w:rsidRDefault="0099758A" w:rsidP="0099758A">
      <w:pPr>
        <w:autoSpaceDE w:val="0"/>
        <w:autoSpaceDN w:val="0"/>
        <w:adjustRightInd w:val="0"/>
        <w:spacing w:line="480" w:lineRule="auto"/>
        <w:ind w:left="720" w:hanging="720"/>
        <w:rPr>
          <w:rFonts w:cstheme="minorHAnsi"/>
        </w:rPr>
      </w:pPr>
      <w:r w:rsidRPr="0099758A">
        <w:rPr>
          <w:rFonts w:cstheme="minorHAnsi"/>
        </w:rPr>
        <w:t>CDC (Centers for Disease Control and Prevention). (201</w:t>
      </w:r>
      <w:r w:rsidR="005779F3">
        <w:rPr>
          <w:rFonts w:cstheme="minorHAnsi"/>
        </w:rPr>
        <w:t>3</w:t>
      </w:r>
      <w:r w:rsidR="0034459D">
        <w:rPr>
          <w:rFonts w:cstheme="minorHAnsi"/>
        </w:rPr>
        <w:t>a</w:t>
      </w:r>
      <w:r w:rsidRPr="0099758A">
        <w:rPr>
          <w:rFonts w:cstheme="minorHAnsi"/>
        </w:rPr>
        <w:t xml:space="preserve">). HIV in the United States: At a glance. Retrieved </w:t>
      </w:r>
      <w:r w:rsidR="005779F3">
        <w:rPr>
          <w:rFonts w:cstheme="minorHAnsi"/>
        </w:rPr>
        <w:t>November</w:t>
      </w:r>
      <w:r w:rsidRPr="0099758A">
        <w:rPr>
          <w:rFonts w:cstheme="minorHAnsi"/>
        </w:rPr>
        <w:t xml:space="preserve"> </w:t>
      </w:r>
      <w:r w:rsidR="005779F3">
        <w:rPr>
          <w:rFonts w:cstheme="minorHAnsi"/>
        </w:rPr>
        <w:t>14</w:t>
      </w:r>
      <w:r w:rsidRPr="0099758A">
        <w:rPr>
          <w:rFonts w:cstheme="minorHAnsi"/>
        </w:rPr>
        <w:t>, 201</w:t>
      </w:r>
      <w:r w:rsidR="005779F3">
        <w:rPr>
          <w:rFonts w:cstheme="minorHAnsi"/>
        </w:rPr>
        <w:t>3</w:t>
      </w:r>
      <w:r w:rsidRPr="0099758A">
        <w:rPr>
          <w:rFonts w:cstheme="minorHAnsi"/>
        </w:rPr>
        <w:t xml:space="preserve"> from </w:t>
      </w:r>
      <w:hyperlink r:id="rId11" w:history="1">
        <w:r w:rsidR="005779F3" w:rsidRPr="00F54CFF">
          <w:rPr>
            <w:rStyle w:val="Hyperlink"/>
          </w:rPr>
          <w:t>http://www.cdc.gov/hiv/pdf/statistics_basics_factsheet.pdf</w:t>
        </w:r>
      </w:hyperlink>
      <w:r w:rsidR="005779F3">
        <w:t xml:space="preserve"> </w:t>
      </w:r>
    </w:p>
    <w:p w:rsidR="0034459D" w:rsidRPr="0099758A" w:rsidRDefault="0034459D" w:rsidP="0034459D">
      <w:pPr>
        <w:autoSpaceDE w:val="0"/>
        <w:autoSpaceDN w:val="0"/>
        <w:adjustRightInd w:val="0"/>
        <w:spacing w:line="480" w:lineRule="auto"/>
        <w:ind w:left="720" w:hanging="720"/>
        <w:rPr>
          <w:rFonts w:cstheme="minorHAnsi"/>
        </w:rPr>
      </w:pPr>
      <w:r w:rsidRPr="0099758A">
        <w:rPr>
          <w:rFonts w:cstheme="minorHAnsi"/>
        </w:rPr>
        <w:t>CDC (Centers for Disease Control and Prevention). (201</w:t>
      </w:r>
      <w:r>
        <w:rPr>
          <w:rFonts w:cstheme="minorHAnsi"/>
        </w:rPr>
        <w:t>3b</w:t>
      </w:r>
      <w:r w:rsidRPr="0099758A">
        <w:rPr>
          <w:rFonts w:cstheme="minorHAnsi"/>
        </w:rPr>
        <w:t>).</w:t>
      </w:r>
      <w:r>
        <w:rPr>
          <w:rFonts w:cstheme="minorHAnsi"/>
        </w:rPr>
        <w:t xml:space="preserve">  </w:t>
      </w:r>
      <w:r w:rsidRPr="0099758A">
        <w:rPr>
          <w:rFonts w:cstheme="minorHAnsi"/>
        </w:rPr>
        <w:t xml:space="preserve">HIV in </w:t>
      </w:r>
      <w:r>
        <w:rPr>
          <w:rFonts w:cstheme="minorHAnsi"/>
        </w:rPr>
        <w:t>correctional settings.</w:t>
      </w:r>
      <w:r w:rsidRPr="0099758A">
        <w:rPr>
          <w:rFonts w:cstheme="minorHAnsi"/>
        </w:rPr>
        <w:t xml:space="preserve"> </w:t>
      </w:r>
      <w:r>
        <w:rPr>
          <w:rFonts w:cstheme="minorHAnsi"/>
        </w:rPr>
        <w:t xml:space="preserve"> </w:t>
      </w:r>
      <w:r w:rsidRPr="0099758A">
        <w:rPr>
          <w:rFonts w:cstheme="minorHAnsi"/>
        </w:rPr>
        <w:t xml:space="preserve">Retrieved </w:t>
      </w:r>
      <w:r>
        <w:rPr>
          <w:rFonts w:cstheme="minorHAnsi"/>
        </w:rPr>
        <w:t>November</w:t>
      </w:r>
      <w:r w:rsidRPr="0099758A">
        <w:rPr>
          <w:rFonts w:cstheme="minorHAnsi"/>
        </w:rPr>
        <w:t xml:space="preserve"> </w:t>
      </w:r>
      <w:r>
        <w:rPr>
          <w:rFonts w:cstheme="minorHAnsi"/>
        </w:rPr>
        <w:t>14</w:t>
      </w:r>
      <w:r w:rsidRPr="0099758A">
        <w:rPr>
          <w:rFonts w:cstheme="minorHAnsi"/>
        </w:rPr>
        <w:t>, 201</w:t>
      </w:r>
      <w:r>
        <w:rPr>
          <w:rFonts w:cstheme="minorHAnsi"/>
        </w:rPr>
        <w:t>3</w:t>
      </w:r>
      <w:r w:rsidRPr="0099758A">
        <w:rPr>
          <w:rFonts w:cstheme="minorHAnsi"/>
        </w:rPr>
        <w:t xml:space="preserve"> from</w:t>
      </w:r>
      <w:r>
        <w:t xml:space="preserve"> </w:t>
      </w:r>
      <w:hyperlink r:id="rId12" w:history="1">
        <w:r w:rsidRPr="00F54CFF">
          <w:rPr>
            <w:rStyle w:val="Hyperlink"/>
          </w:rPr>
          <w:t>http://www.cdc.gov/hiv/risk/other/correctional.html</w:t>
        </w:r>
      </w:hyperlink>
      <w:r>
        <w:t xml:space="preserve"> </w:t>
      </w:r>
    </w:p>
    <w:p w:rsidR="00E84E4C" w:rsidRDefault="00E84E4C" w:rsidP="0099758A">
      <w:pPr>
        <w:spacing w:line="480" w:lineRule="auto"/>
        <w:ind w:left="720" w:hanging="720"/>
        <w:rPr>
          <w:rFonts w:eastAsia="Times New Roman" w:cstheme="minorHAnsi"/>
        </w:rPr>
      </w:pPr>
      <w:r>
        <w:rPr>
          <w:rFonts w:eastAsia="Times New Roman" w:cstheme="minorHAnsi"/>
        </w:rPr>
        <w:t xml:space="preserve">Cohen, J. (1988).  </w:t>
      </w:r>
      <w:r w:rsidRPr="00E84E4C">
        <w:rPr>
          <w:rFonts w:eastAsia="Times New Roman" w:cstheme="minorHAnsi"/>
          <w:i/>
        </w:rPr>
        <w:t>Statistical power analysis for the behavioral sciences: 2</w:t>
      </w:r>
      <w:r w:rsidRPr="00E84E4C">
        <w:rPr>
          <w:rFonts w:eastAsia="Times New Roman" w:cstheme="minorHAnsi"/>
          <w:i/>
          <w:vertAlign w:val="superscript"/>
        </w:rPr>
        <w:t>nd</w:t>
      </w:r>
      <w:r w:rsidRPr="00E84E4C">
        <w:rPr>
          <w:rFonts w:eastAsia="Times New Roman" w:cstheme="minorHAnsi"/>
          <w:i/>
        </w:rPr>
        <w:t xml:space="preserve"> edition</w:t>
      </w:r>
      <w:r>
        <w:rPr>
          <w:rFonts w:eastAsia="Times New Roman" w:cstheme="minorHAnsi"/>
        </w:rPr>
        <w:t xml:space="preserve">.  Lawrence Earlbaum, Hillsdale, NJ.  </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lastRenderedPageBreak/>
        <w:t xml:space="preserve">Czuchry, M., &amp; Dansereau, D. F. (2000). Drug abuse treatment in criminal justice settings: Enhancing community engagement and helpfulness. </w:t>
      </w:r>
      <w:r w:rsidRPr="0099758A">
        <w:rPr>
          <w:rFonts w:eastAsia="Times New Roman" w:cstheme="minorHAnsi"/>
          <w:i/>
          <w:iCs/>
        </w:rPr>
        <w:t>American Journal of Drug and Alcohol Abuse, 26</w:t>
      </w:r>
      <w:r w:rsidRPr="0099758A">
        <w:rPr>
          <w:rFonts w:eastAsia="Times New Roman" w:cstheme="minorHAnsi"/>
        </w:rPr>
        <w:t>(4), 537-552.</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 xml:space="preserve">Czuchry, M., &amp; Dansereau, D. F. (2003). A model of the effects of node-link mapping on drug abuse counseling. </w:t>
      </w:r>
      <w:r w:rsidRPr="0099758A">
        <w:rPr>
          <w:rFonts w:eastAsia="Times New Roman" w:cstheme="minorHAnsi"/>
          <w:i/>
          <w:iCs/>
        </w:rPr>
        <w:t>Addictive Behaviors, 28</w:t>
      </w:r>
      <w:r w:rsidRPr="0099758A">
        <w:rPr>
          <w:rFonts w:eastAsia="Times New Roman" w:cstheme="minorHAnsi"/>
        </w:rPr>
        <w:t>(3), 537-549.</w:t>
      </w:r>
    </w:p>
    <w:p w:rsidR="0099758A" w:rsidRPr="0099758A" w:rsidRDefault="0099758A" w:rsidP="0099758A">
      <w:pPr>
        <w:spacing w:line="480" w:lineRule="auto"/>
        <w:ind w:left="720" w:hanging="720"/>
        <w:rPr>
          <w:rFonts w:eastAsia="Times New Roman" w:cstheme="minorHAnsi"/>
        </w:rPr>
      </w:pPr>
      <w:bookmarkStart w:id="1" w:name="Czuchry-95-JPD-Abstract"/>
      <w:r w:rsidRPr="0099758A">
        <w:rPr>
          <w:rFonts w:eastAsia="Times New Roman" w:cstheme="minorHAnsi"/>
        </w:rPr>
        <w:t>Czuchry, M., Dansereau, D. F., Dees, S. M., &amp; Simpson, D. D. (1995)</w:t>
      </w:r>
      <w:bookmarkEnd w:id="1"/>
      <w:r w:rsidRPr="0099758A">
        <w:rPr>
          <w:rFonts w:eastAsia="Times New Roman" w:cstheme="minorHAnsi"/>
        </w:rPr>
        <w:t xml:space="preserve">. The use of node-link mapping in drug abuse counseling: The role of attentional factors. </w:t>
      </w:r>
      <w:r w:rsidRPr="0099758A">
        <w:rPr>
          <w:rFonts w:eastAsia="Times New Roman" w:cstheme="minorHAnsi"/>
          <w:i/>
          <w:iCs/>
        </w:rPr>
        <w:t>Journal of Psychoactive Drugs, 27</w:t>
      </w:r>
      <w:r w:rsidRPr="0099758A">
        <w:rPr>
          <w:rFonts w:eastAsia="Times New Roman" w:cstheme="minorHAnsi"/>
        </w:rPr>
        <w:t>(2), 161-166.</w:t>
      </w:r>
    </w:p>
    <w:p w:rsidR="0099758A" w:rsidRPr="0099758A" w:rsidRDefault="0099758A" w:rsidP="0099758A">
      <w:pPr>
        <w:autoSpaceDE w:val="0"/>
        <w:autoSpaceDN w:val="0"/>
        <w:adjustRightInd w:val="0"/>
        <w:spacing w:line="480" w:lineRule="auto"/>
        <w:ind w:left="720" w:hanging="720"/>
        <w:rPr>
          <w:rFonts w:cstheme="minorHAnsi"/>
        </w:rPr>
      </w:pPr>
      <w:r w:rsidRPr="0099758A">
        <w:rPr>
          <w:rFonts w:cstheme="minorHAnsi"/>
        </w:rPr>
        <w:t xml:space="preserve">Dansereau, D. F. (2005). Node-link mapping principles for visualizing knowledge and information. In S. O. Tergan &amp; T. Keller (Eds.), </w:t>
      </w:r>
      <w:r w:rsidRPr="0099758A">
        <w:rPr>
          <w:rFonts w:cstheme="minorHAnsi"/>
          <w:i/>
          <w:iCs/>
        </w:rPr>
        <w:t>Knowledge and information visualization: Searching for synergies</w:t>
      </w:r>
      <w:r w:rsidRPr="0099758A">
        <w:rPr>
          <w:rFonts w:cstheme="minorHAnsi"/>
        </w:rPr>
        <w:t xml:space="preserve"> (Lecture Notes in Computer Science 3426, pp. 61-81). Heidelberg: Springer Verlag.</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 xml:space="preserve">Dansereau, D. F., &amp; Dees, S. M. (2002). Mapping training: The transfer of a cognitive technology for improving counseling. </w:t>
      </w:r>
      <w:r w:rsidRPr="0099758A">
        <w:rPr>
          <w:rFonts w:eastAsia="Times New Roman" w:cstheme="minorHAnsi"/>
          <w:i/>
          <w:iCs/>
        </w:rPr>
        <w:t>Journal of Substance Abuse Treatment, 22</w:t>
      </w:r>
      <w:r w:rsidRPr="0099758A">
        <w:rPr>
          <w:rFonts w:eastAsia="Times New Roman" w:cstheme="minorHAnsi"/>
        </w:rPr>
        <w:t>(4), 219-230.</w:t>
      </w:r>
    </w:p>
    <w:p w:rsidR="0099758A" w:rsidRPr="0099758A" w:rsidRDefault="0099758A" w:rsidP="0099758A">
      <w:pPr>
        <w:spacing w:line="480" w:lineRule="auto"/>
        <w:ind w:left="720" w:hanging="720"/>
        <w:rPr>
          <w:rFonts w:eastAsia="Times New Roman" w:cstheme="minorHAnsi"/>
        </w:rPr>
      </w:pPr>
      <w:bookmarkStart w:id="2" w:name="Dansereau-95-PAB-Abstract"/>
      <w:r w:rsidRPr="0099758A">
        <w:rPr>
          <w:rFonts w:eastAsia="Times New Roman" w:cstheme="minorHAnsi"/>
        </w:rPr>
        <w:t>Dansereau, D. F., Dees, S. M., Greener, J. M., &amp; Simpson, D. D. (1995)</w:t>
      </w:r>
      <w:bookmarkEnd w:id="2"/>
      <w:r w:rsidRPr="0099758A">
        <w:rPr>
          <w:rFonts w:eastAsia="Times New Roman" w:cstheme="minorHAnsi"/>
        </w:rPr>
        <w:t xml:space="preserve">. Node-link mapping and the evaluation of drug abuse counseling sessions. </w:t>
      </w:r>
      <w:r w:rsidRPr="0099758A">
        <w:rPr>
          <w:rFonts w:eastAsia="Times New Roman" w:cstheme="minorHAnsi"/>
          <w:i/>
          <w:iCs/>
        </w:rPr>
        <w:t>Psychology of Addictive Behaviors, 9</w:t>
      </w:r>
      <w:r w:rsidRPr="0099758A">
        <w:rPr>
          <w:rFonts w:eastAsia="Times New Roman" w:cstheme="minorHAnsi"/>
        </w:rPr>
        <w:t>(3), 195-203.</w:t>
      </w:r>
    </w:p>
    <w:p w:rsidR="0099758A" w:rsidRPr="0099758A" w:rsidRDefault="0099758A" w:rsidP="0099758A">
      <w:pPr>
        <w:spacing w:line="480" w:lineRule="auto"/>
        <w:ind w:left="720" w:hanging="720"/>
        <w:rPr>
          <w:rFonts w:eastAsia="Times New Roman" w:cstheme="minorHAnsi"/>
        </w:rPr>
      </w:pPr>
      <w:bookmarkStart w:id="3" w:name="Dansereau-96-AB-Abstract"/>
      <w:bookmarkStart w:id="4" w:name="Dansereau-93-JCP-Abstract"/>
      <w:r w:rsidRPr="0099758A">
        <w:rPr>
          <w:rFonts w:eastAsia="Times New Roman" w:cstheme="minorHAnsi"/>
        </w:rPr>
        <w:t>Dansereau, D. F., Joe, G. W., Dees, S. M., &amp; Simpson, D. D. (1996)</w:t>
      </w:r>
      <w:bookmarkEnd w:id="3"/>
      <w:r w:rsidRPr="0099758A">
        <w:rPr>
          <w:rFonts w:eastAsia="Times New Roman" w:cstheme="minorHAnsi"/>
        </w:rPr>
        <w:t xml:space="preserve">. Ethnicity and the effects of mapping-enhanced drug abuse counseling. </w:t>
      </w:r>
      <w:r w:rsidRPr="0099758A">
        <w:rPr>
          <w:rFonts w:eastAsia="Times New Roman" w:cstheme="minorHAnsi"/>
          <w:i/>
          <w:iCs/>
        </w:rPr>
        <w:t>Addictive Behaviors, 21</w:t>
      </w:r>
      <w:r w:rsidRPr="0099758A">
        <w:rPr>
          <w:rFonts w:eastAsia="Times New Roman" w:cstheme="minorHAnsi"/>
        </w:rPr>
        <w:t>(3), 363-376.</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Dansereau, D. F., Joe, G. W., &amp; Simpson, D. D. (1993)</w:t>
      </w:r>
      <w:bookmarkEnd w:id="4"/>
      <w:r w:rsidRPr="0099758A">
        <w:rPr>
          <w:rFonts w:eastAsia="Times New Roman" w:cstheme="minorHAnsi"/>
        </w:rPr>
        <w:t xml:space="preserve">. Node-link mapping: A visual representation strategy for enhancing drug abuse counseling. </w:t>
      </w:r>
      <w:r w:rsidRPr="0099758A">
        <w:rPr>
          <w:rFonts w:eastAsia="Times New Roman" w:cstheme="minorHAnsi"/>
          <w:i/>
          <w:iCs/>
        </w:rPr>
        <w:t>Journal of Counseling Psychology, 40</w:t>
      </w:r>
      <w:r w:rsidRPr="0099758A">
        <w:rPr>
          <w:rFonts w:eastAsia="Times New Roman" w:cstheme="minorHAnsi"/>
        </w:rPr>
        <w:t>(4), 385-395.</w:t>
      </w:r>
    </w:p>
    <w:p w:rsidR="0099758A" w:rsidRPr="0099758A" w:rsidRDefault="0099758A" w:rsidP="0099758A">
      <w:pPr>
        <w:spacing w:line="480" w:lineRule="auto"/>
        <w:ind w:left="720" w:hanging="720"/>
        <w:rPr>
          <w:rFonts w:eastAsia="Times New Roman" w:cstheme="minorHAnsi"/>
        </w:rPr>
      </w:pPr>
      <w:bookmarkStart w:id="5" w:name="Dansereau-95-IJA-Abstract"/>
      <w:r w:rsidRPr="0099758A">
        <w:rPr>
          <w:rFonts w:eastAsia="Times New Roman" w:cstheme="minorHAnsi"/>
        </w:rPr>
        <w:t>Dansereau, D. F., Joe, G. W., &amp; Simpson, D. D. (1995)</w:t>
      </w:r>
      <w:bookmarkEnd w:id="5"/>
      <w:r w:rsidRPr="0099758A">
        <w:rPr>
          <w:rFonts w:eastAsia="Times New Roman" w:cstheme="minorHAnsi"/>
        </w:rPr>
        <w:t xml:space="preserve">. Attentional difficulties and the effectiveness of a visual representation strategy for counseling drug-addicted clients. </w:t>
      </w:r>
      <w:r w:rsidRPr="0099758A">
        <w:rPr>
          <w:rFonts w:eastAsia="Times New Roman" w:cstheme="minorHAnsi"/>
          <w:i/>
        </w:rPr>
        <w:t>International Journal of the Addictions, 30</w:t>
      </w:r>
      <w:r w:rsidRPr="0099758A">
        <w:rPr>
          <w:rFonts w:eastAsia="Times New Roman" w:cstheme="minorHAnsi"/>
        </w:rPr>
        <w:t>(4), 371-386.</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 xml:space="preserve">Dansereau, D. F., &amp; Simpson, D. D. (2009). A picture is worth a thousand words:  The case for graphic representations. </w:t>
      </w:r>
      <w:r w:rsidRPr="0099758A">
        <w:rPr>
          <w:rFonts w:eastAsia="Times New Roman" w:cstheme="minorHAnsi"/>
          <w:i/>
          <w:iCs/>
        </w:rPr>
        <w:t>Professional Psychology: Research &amp; Practice, 40</w:t>
      </w:r>
      <w:r w:rsidRPr="0099758A">
        <w:rPr>
          <w:rFonts w:eastAsia="Times New Roman" w:cstheme="minorHAnsi"/>
        </w:rPr>
        <w:t>(1), 104-110.</w:t>
      </w:r>
    </w:p>
    <w:p w:rsidR="0099758A" w:rsidRPr="0099758A" w:rsidRDefault="0099758A" w:rsidP="0099758A">
      <w:pPr>
        <w:spacing w:line="480" w:lineRule="auto"/>
        <w:ind w:left="720" w:hanging="720"/>
        <w:rPr>
          <w:rFonts w:eastAsia="Times New Roman" w:cstheme="minorHAnsi"/>
        </w:rPr>
      </w:pPr>
      <w:bookmarkStart w:id="6" w:name="Dees-94-JSAT-Abstract"/>
      <w:r w:rsidRPr="0099758A">
        <w:rPr>
          <w:rFonts w:eastAsia="Times New Roman" w:cstheme="minorHAnsi"/>
        </w:rPr>
        <w:lastRenderedPageBreak/>
        <w:t>Dees, S. M., Dansereau, D. F., &amp; Simpson, D. D. (1994)</w:t>
      </w:r>
      <w:bookmarkEnd w:id="6"/>
      <w:r w:rsidRPr="0099758A">
        <w:rPr>
          <w:rFonts w:eastAsia="Times New Roman" w:cstheme="minorHAnsi"/>
        </w:rPr>
        <w:t xml:space="preserve">. A visual representation system for drug abuse counselors. </w:t>
      </w:r>
      <w:r w:rsidRPr="0099758A">
        <w:rPr>
          <w:rFonts w:eastAsia="Times New Roman" w:cstheme="minorHAnsi"/>
          <w:i/>
          <w:iCs/>
        </w:rPr>
        <w:t>Journal of Substance Abuse Treatment, 11</w:t>
      </w:r>
      <w:r w:rsidRPr="0099758A">
        <w:rPr>
          <w:rFonts w:eastAsia="Times New Roman" w:cstheme="minorHAnsi"/>
        </w:rPr>
        <w:t>(6), 517-523.</w:t>
      </w:r>
    </w:p>
    <w:p w:rsidR="0099758A" w:rsidRPr="0099758A" w:rsidRDefault="0099758A" w:rsidP="0099758A">
      <w:pPr>
        <w:autoSpaceDE w:val="0"/>
        <w:autoSpaceDN w:val="0"/>
        <w:adjustRightInd w:val="0"/>
        <w:spacing w:line="480" w:lineRule="auto"/>
        <w:ind w:left="720" w:hanging="720"/>
        <w:rPr>
          <w:rFonts w:cstheme="minorHAnsi"/>
        </w:rPr>
      </w:pPr>
      <w:r w:rsidRPr="0099758A">
        <w:rPr>
          <w:rFonts w:cstheme="minorHAnsi"/>
        </w:rPr>
        <w:t xml:space="preserve">Fishbein, M. &amp; Ajzen, I. (1975). </w:t>
      </w:r>
      <w:r w:rsidRPr="0099758A">
        <w:rPr>
          <w:rFonts w:cstheme="minorHAnsi"/>
          <w:i/>
          <w:iCs/>
        </w:rPr>
        <w:t>Belief, attitude, intention, and behavior: An introduction to theory and research</w:t>
      </w:r>
      <w:r w:rsidRPr="0099758A">
        <w:rPr>
          <w:rFonts w:cstheme="minorHAnsi"/>
        </w:rPr>
        <w:t>. Reading, MA: Addison-Wesley</w:t>
      </w:r>
    </w:p>
    <w:p w:rsidR="0099758A" w:rsidRPr="0099758A" w:rsidRDefault="0099758A" w:rsidP="0099758A">
      <w:pPr>
        <w:autoSpaceDE w:val="0"/>
        <w:autoSpaceDN w:val="0"/>
        <w:adjustRightInd w:val="0"/>
        <w:spacing w:line="480" w:lineRule="auto"/>
        <w:ind w:left="720" w:hanging="720"/>
        <w:rPr>
          <w:rFonts w:cstheme="minorHAnsi"/>
        </w:rPr>
      </w:pPr>
      <w:r w:rsidRPr="0099758A">
        <w:rPr>
          <w:rFonts w:cstheme="minorHAnsi"/>
        </w:rPr>
        <w:t xml:space="preserve">Freudenberg, N. (2001). Jails, prisons, and the health of urban: A review of the impact of the correctional system on community health. </w:t>
      </w:r>
      <w:r w:rsidRPr="0099758A">
        <w:rPr>
          <w:rFonts w:cstheme="minorHAnsi"/>
          <w:i/>
          <w:iCs/>
        </w:rPr>
        <w:t>Journal of Urban Health, 78</w:t>
      </w:r>
      <w:r w:rsidRPr="0099758A">
        <w:rPr>
          <w:rFonts w:cstheme="minorHAnsi"/>
        </w:rPr>
        <w:t>(2), 214-235.</w:t>
      </w:r>
    </w:p>
    <w:p w:rsidR="0099758A" w:rsidRPr="0099758A" w:rsidRDefault="0099758A" w:rsidP="0099758A">
      <w:pPr>
        <w:autoSpaceDE w:val="0"/>
        <w:autoSpaceDN w:val="0"/>
        <w:adjustRightInd w:val="0"/>
        <w:spacing w:line="480" w:lineRule="auto"/>
        <w:ind w:left="720" w:hanging="720"/>
        <w:rPr>
          <w:rFonts w:cstheme="minorHAnsi"/>
        </w:rPr>
      </w:pPr>
      <w:bookmarkStart w:id="7" w:name="Joe-94-JSA-Abstract"/>
      <w:r w:rsidRPr="0099758A">
        <w:rPr>
          <w:rFonts w:cstheme="minorHAnsi"/>
        </w:rPr>
        <w:t xml:space="preserve">Inciardi, J. A. (Ed.). (1993). </w:t>
      </w:r>
      <w:r w:rsidRPr="0099758A">
        <w:rPr>
          <w:rFonts w:cstheme="minorHAnsi"/>
          <w:i/>
        </w:rPr>
        <w:t>Drug treatment and criminal justice</w:t>
      </w:r>
      <w:r w:rsidRPr="0099758A">
        <w:rPr>
          <w:rFonts w:cstheme="minorHAnsi"/>
        </w:rPr>
        <w:t>. Newbury Park, CA: Sage Publications.</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Joe, G. W., Dansereau, D. F., &amp; Simpson, D. D.  (1994)</w:t>
      </w:r>
      <w:bookmarkEnd w:id="7"/>
      <w:r w:rsidRPr="0099758A">
        <w:rPr>
          <w:rFonts w:eastAsia="Times New Roman" w:cstheme="minorHAnsi"/>
        </w:rPr>
        <w:t xml:space="preserve">. Node-link mapping for counseling cocaine users in methadone treatment. </w:t>
      </w:r>
      <w:r w:rsidRPr="0099758A">
        <w:rPr>
          <w:rFonts w:eastAsia="Times New Roman" w:cstheme="minorHAnsi"/>
          <w:i/>
          <w:iCs/>
        </w:rPr>
        <w:t>Journal of Substance Abuse, 6</w:t>
      </w:r>
      <w:r w:rsidRPr="0099758A">
        <w:rPr>
          <w:rFonts w:eastAsia="Times New Roman" w:cstheme="minorHAnsi"/>
        </w:rPr>
        <w:t>(4), 393-406.</w:t>
      </w:r>
    </w:p>
    <w:p w:rsidR="0099758A" w:rsidRPr="0099758A" w:rsidRDefault="0099758A" w:rsidP="0099758A">
      <w:pPr>
        <w:spacing w:line="480" w:lineRule="auto"/>
        <w:ind w:left="720" w:hanging="720"/>
        <w:rPr>
          <w:rFonts w:eastAsia="Times New Roman" w:cstheme="minorHAnsi"/>
        </w:rPr>
      </w:pPr>
      <w:bookmarkStart w:id="8" w:name="DKnight-94-AJDAA-Abstract"/>
      <w:r w:rsidRPr="0099758A">
        <w:rPr>
          <w:rFonts w:eastAsia="Times New Roman" w:cstheme="minorHAnsi"/>
        </w:rPr>
        <w:t>Knight, D. K., Dansereau, D. F., Joe, G. W., &amp; Simpson, D. D. (1994)</w:t>
      </w:r>
      <w:bookmarkEnd w:id="8"/>
      <w:r w:rsidRPr="0099758A">
        <w:rPr>
          <w:rFonts w:eastAsia="Times New Roman" w:cstheme="minorHAnsi"/>
        </w:rPr>
        <w:t xml:space="preserve">. The role of node-link mapping in individual and group counseling. </w:t>
      </w:r>
      <w:r w:rsidRPr="0099758A">
        <w:rPr>
          <w:rFonts w:eastAsia="Times New Roman" w:cstheme="minorHAnsi"/>
          <w:i/>
          <w:iCs/>
        </w:rPr>
        <w:t>American Journal of Drug and Alcohol Abuse, 20</w:t>
      </w:r>
      <w:r w:rsidRPr="0099758A">
        <w:rPr>
          <w:rFonts w:eastAsia="Times New Roman" w:cstheme="minorHAnsi"/>
        </w:rPr>
        <w:t>(4), 517-527.</w:t>
      </w:r>
    </w:p>
    <w:p w:rsidR="0099758A" w:rsidRPr="0099758A" w:rsidRDefault="0099758A" w:rsidP="0099758A">
      <w:pPr>
        <w:spacing w:line="480" w:lineRule="auto"/>
        <w:ind w:left="720" w:hanging="720"/>
        <w:rPr>
          <w:rFonts w:eastAsia="Times New Roman" w:cstheme="minorHAnsi"/>
          <w:b/>
        </w:rPr>
      </w:pPr>
      <w:bookmarkStart w:id="9" w:name="KKnight-97-JOR-Abstract"/>
      <w:r w:rsidRPr="0099758A">
        <w:rPr>
          <w:rFonts w:eastAsia="Times New Roman" w:cstheme="minorHAnsi"/>
        </w:rPr>
        <w:t>Knight, K., Simpson, D. D., Chatham, L. R., &amp; Camacho, L. M. (1997)</w:t>
      </w:r>
      <w:bookmarkEnd w:id="9"/>
      <w:r w:rsidRPr="0099758A">
        <w:rPr>
          <w:rFonts w:eastAsia="Times New Roman" w:cstheme="minorHAnsi"/>
        </w:rPr>
        <w:t xml:space="preserve">. An assessment of prison-based drug treatment: Texas’ in-prison therapeutic community program. </w:t>
      </w:r>
      <w:r w:rsidRPr="0099758A">
        <w:rPr>
          <w:rFonts w:eastAsia="Times New Roman" w:cstheme="minorHAnsi"/>
          <w:i/>
          <w:iCs/>
        </w:rPr>
        <w:t>Journal of Offender Rehabilitation, 24</w:t>
      </w:r>
      <w:r w:rsidRPr="0099758A">
        <w:rPr>
          <w:rFonts w:eastAsia="Times New Roman" w:cstheme="minorHAnsi"/>
        </w:rPr>
        <w:t xml:space="preserve">(3/4), 75-100.  </w:t>
      </w:r>
    </w:p>
    <w:p w:rsidR="0099758A" w:rsidRPr="0099758A" w:rsidRDefault="0099758A" w:rsidP="0099758A">
      <w:pPr>
        <w:spacing w:line="480" w:lineRule="auto"/>
        <w:ind w:left="720" w:hanging="720"/>
        <w:rPr>
          <w:rFonts w:eastAsia="Times New Roman" w:cstheme="minorHAnsi"/>
        </w:rPr>
      </w:pPr>
      <w:r w:rsidRPr="0099758A">
        <w:rPr>
          <w:rFonts w:eastAsia="Times New Roman" w:cstheme="minorHAnsi"/>
        </w:rPr>
        <w:t xml:space="preserve">Newbern, D., Dansereau, D. F., Czuchry, M., &amp; Simpson, D. D. (2005). Node-link mapping in individual counseling: Treatment impact on clients with ADHD-related behaviors. </w:t>
      </w:r>
      <w:r w:rsidRPr="0099758A">
        <w:rPr>
          <w:rFonts w:eastAsia="Times New Roman" w:cstheme="minorHAnsi"/>
          <w:i/>
          <w:iCs/>
        </w:rPr>
        <w:t>Journal of Psychoactive Drugs, 37</w:t>
      </w:r>
      <w:r w:rsidRPr="0099758A">
        <w:rPr>
          <w:rFonts w:eastAsia="Times New Roman" w:cstheme="minorHAnsi"/>
        </w:rPr>
        <w:t xml:space="preserve">(1), 93-103. </w:t>
      </w:r>
    </w:p>
    <w:p w:rsidR="0099758A" w:rsidRPr="0099758A" w:rsidRDefault="0099758A" w:rsidP="0099758A">
      <w:pPr>
        <w:spacing w:line="480" w:lineRule="auto"/>
        <w:ind w:left="720" w:hanging="720"/>
        <w:rPr>
          <w:rFonts w:eastAsia="Times New Roman" w:cstheme="minorHAnsi"/>
        </w:rPr>
      </w:pPr>
      <w:bookmarkStart w:id="10" w:name="Pitre-96-JAD-Abstract"/>
      <w:r w:rsidRPr="0099758A">
        <w:rPr>
          <w:rFonts w:eastAsia="Times New Roman" w:cstheme="minorHAnsi"/>
        </w:rPr>
        <w:t>Pitre, U., Dansereau, D. F., &amp; Joe, G. W. (1996)</w:t>
      </w:r>
      <w:bookmarkEnd w:id="10"/>
      <w:r w:rsidRPr="0099758A">
        <w:rPr>
          <w:rFonts w:eastAsia="Times New Roman" w:cstheme="minorHAnsi"/>
        </w:rPr>
        <w:t xml:space="preserve">. Client education levels and the effectiveness of node-link maps. </w:t>
      </w:r>
      <w:r w:rsidRPr="0099758A">
        <w:rPr>
          <w:rFonts w:eastAsia="Times New Roman" w:cstheme="minorHAnsi"/>
          <w:i/>
          <w:iCs/>
        </w:rPr>
        <w:t>Journal of Addictive Diseases, 15</w:t>
      </w:r>
      <w:r w:rsidRPr="0099758A">
        <w:rPr>
          <w:rFonts w:eastAsia="Times New Roman" w:cstheme="minorHAnsi"/>
        </w:rPr>
        <w:t>(3), 27-44.</w:t>
      </w:r>
    </w:p>
    <w:p w:rsidR="0099758A" w:rsidRPr="0099758A" w:rsidRDefault="0099758A" w:rsidP="0099758A">
      <w:pPr>
        <w:autoSpaceDE w:val="0"/>
        <w:autoSpaceDN w:val="0"/>
        <w:adjustRightInd w:val="0"/>
        <w:spacing w:line="480" w:lineRule="auto"/>
        <w:ind w:left="720" w:hanging="720"/>
        <w:rPr>
          <w:rFonts w:cstheme="minorHAnsi"/>
        </w:rPr>
      </w:pPr>
      <w:bookmarkStart w:id="11" w:name="Simpson-94-PAB-Abstract"/>
      <w:r w:rsidRPr="0099758A">
        <w:rPr>
          <w:rFonts w:cstheme="minorHAnsi"/>
        </w:rPr>
        <w:t xml:space="preserve">Ross, M. W., Harzke, A. J., Scott, D. P., McCann, K., &amp; Kelley, M. (2006). Outcomes of Project Wall Talk: An HIV/AIDS peer education program implemented within the Texas state prison system. </w:t>
      </w:r>
      <w:r w:rsidRPr="0099758A">
        <w:rPr>
          <w:rFonts w:cstheme="minorHAnsi"/>
          <w:i/>
          <w:iCs/>
        </w:rPr>
        <w:t>AIDS Education &amp; Prevention, 18</w:t>
      </w:r>
      <w:r w:rsidRPr="0099758A">
        <w:rPr>
          <w:rFonts w:cstheme="minorHAnsi"/>
        </w:rPr>
        <w:t>(6), 504-517.</w:t>
      </w:r>
    </w:p>
    <w:bookmarkEnd w:id="11"/>
    <w:p w:rsidR="0099758A" w:rsidRPr="0099758A" w:rsidRDefault="0099758A" w:rsidP="0099758A">
      <w:pPr>
        <w:autoSpaceDE w:val="0"/>
        <w:autoSpaceDN w:val="0"/>
        <w:adjustRightInd w:val="0"/>
        <w:spacing w:line="480" w:lineRule="auto"/>
        <w:ind w:left="720" w:hanging="720"/>
        <w:rPr>
          <w:rFonts w:cstheme="minorHAnsi"/>
        </w:rPr>
      </w:pPr>
      <w:r w:rsidRPr="0099758A">
        <w:rPr>
          <w:rFonts w:cstheme="minorHAnsi"/>
        </w:rPr>
        <w:t xml:space="preserve">Stephan, J. J., &amp; Karberg, J. C. (2003). </w:t>
      </w:r>
      <w:r w:rsidRPr="0099758A">
        <w:rPr>
          <w:rFonts w:cstheme="minorHAnsi"/>
          <w:i/>
          <w:iCs/>
        </w:rPr>
        <w:t xml:space="preserve">Census of state and federal correctional facilities, 2000 </w:t>
      </w:r>
      <w:r w:rsidRPr="0099758A">
        <w:rPr>
          <w:rFonts w:cstheme="minorHAnsi"/>
        </w:rPr>
        <w:t xml:space="preserve">(Bureau of Justice Statistics NCJ 198272). Washington, DC: U.S. Government Printing Office, Office of Justice </w:t>
      </w:r>
      <w:r w:rsidRPr="0099758A">
        <w:rPr>
          <w:rFonts w:cstheme="minorHAnsi"/>
        </w:rPr>
        <w:lastRenderedPageBreak/>
        <w:t xml:space="preserve">Programs. Accessed December 13, 2012 from </w:t>
      </w:r>
      <w:hyperlink r:id="rId13" w:history="1">
        <w:r w:rsidRPr="0099758A">
          <w:rPr>
            <w:rStyle w:val="Hyperlink"/>
            <w:rFonts w:cstheme="minorHAnsi"/>
            <w:color w:val="auto"/>
            <w:u w:val="none"/>
          </w:rPr>
          <w:t>https://www.ncjrs.gov/App/Publications/abstract.aspx?ID=198272</w:t>
        </w:r>
      </w:hyperlink>
    </w:p>
    <w:p w:rsidR="0099758A" w:rsidRPr="00881E76" w:rsidRDefault="00881E76" w:rsidP="00881E76">
      <w:pPr>
        <w:autoSpaceDE w:val="0"/>
        <w:autoSpaceDN w:val="0"/>
        <w:adjustRightInd w:val="0"/>
        <w:spacing w:line="480" w:lineRule="auto"/>
        <w:ind w:left="720" w:hanging="720"/>
        <w:rPr>
          <w:rFonts w:cstheme="minorHAnsi"/>
        </w:rPr>
      </w:pPr>
      <w:r w:rsidRPr="00881E76">
        <w:rPr>
          <w:rFonts w:cstheme="minorHAnsi"/>
        </w:rPr>
        <w:t xml:space="preserve">Wu, Z. H., Baillargeon, J., Grady, J. J., </w:t>
      </w:r>
      <w:r>
        <w:rPr>
          <w:rFonts w:cstheme="minorHAnsi"/>
        </w:rPr>
        <w:t xml:space="preserve">Black, S. A., &amp; Dunn, K. (2001).  HIV seroprevalence among newly incarcerated inmates in the Texas correctional system.  </w:t>
      </w:r>
      <w:r w:rsidRPr="00881E76">
        <w:rPr>
          <w:rFonts w:cstheme="minorHAnsi"/>
          <w:i/>
        </w:rPr>
        <w:t>Annuals of Epidemiology, 11(5)</w:t>
      </w:r>
      <w:r>
        <w:rPr>
          <w:rFonts w:cstheme="minorHAnsi"/>
        </w:rPr>
        <w:t>, 342-346.</w:t>
      </w:r>
    </w:p>
    <w:p w:rsidR="0099758A" w:rsidRDefault="0099758A">
      <w:pPr>
        <w:rPr>
          <w:rFonts w:cstheme="minorHAnsi"/>
        </w:rPr>
      </w:pPr>
    </w:p>
    <w:p w:rsidR="0099758A" w:rsidRDefault="0099758A">
      <w:pPr>
        <w:rPr>
          <w:rFonts w:cstheme="minorHAnsi"/>
        </w:rPr>
      </w:pPr>
      <w:r>
        <w:rPr>
          <w:rFonts w:cstheme="minorHAnsi"/>
        </w:rPr>
        <w:br w:type="page"/>
      </w:r>
    </w:p>
    <w:p w:rsidR="00A73F78" w:rsidRDefault="00A73F78" w:rsidP="00A73F78">
      <w:pPr>
        <w:pStyle w:val="NoSpacing"/>
        <w:spacing w:line="480" w:lineRule="auto"/>
        <w:rPr>
          <w:rFonts w:cstheme="minorHAnsi"/>
        </w:rPr>
      </w:pPr>
      <w:r>
        <w:rPr>
          <w:rFonts w:cstheme="minorHAnsi"/>
        </w:rPr>
        <w:lastRenderedPageBreak/>
        <w:t xml:space="preserve">Table </w:t>
      </w:r>
      <w:r w:rsidR="00FC35CB">
        <w:rPr>
          <w:rFonts w:cstheme="minorHAnsi"/>
        </w:rPr>
        <w:t>1</w:t>
      </w:r>
      <w:r>
        <w:rPr>
          <w:rFonts w:cstheme="minorHAnsi"/>
        </w:rPr>
        <w:t xml:space="preserve">:  </w:t>
      </w:r>
      <w:r w:rsidRPr="00450DFF">
        <w:rPr>
          <w:rFonts w:cstheme="minorHAnsi"/>
          <w:i/>
        </w:rPr>
        <w:t>WaySafe</w:t>
      </w:r>
      <w:r>
        <w:rPr>
          <w:rFonts w:cstheme="minorHAnsi"/>
        </w:rPr>
        <w:t xml:space="preserve"> Sessions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80"/>
      </w:tblGrid>
      <w:tr w:rsidR="00A73F78" w:rsidTr="00B307F1">
        <w:tc>
          <w:tcPr>
            <w:tcW w:w="2880" w:type="dxa"/>
            <w:tcBorders>
              <w:top w:val="single" w:sz="4" w:space="0" w:color="auto"/>
              <w:bottom w:val="single" w:sz="4" w:space="0" w:color="auto"/>
            </w:tcBorders>
          </w:tcPr>
          <w:p w:rsidR="00A73F78" w:rsidRDefault="00A73F78" w:rsidP="00B307F1">
            <w:pPr>
              <w:pStyle w:val="NoSpacing"/>
              <w:jc w:val="center"/>
              <w:rPr>
                <w:rFonts w:cstheme="minorHAnsi"/>
              </w:rPr>
            </w:pPr>
          </w:p>
        </w:tc>
        <w:tc>
          <w:tcPr>
            <w:tcW w:w="6480" w:type="dxa"/>
            <w:tcBorders>
              <w:top w:val="single" w:sz="4" w:space="0" w:color="auto"/>
              <w:bottom w:val="single" w:sz="4" w:space="0" w:color="auto"/>
            </w:tcBorders>
          </w:tcPr>
          <w:p w:rsidR="00A73F78" w:rsidRDefault="00A73F78" w:rsidP="00B307F1">
            <w:pPr>
              <w:pStyle w:val="NoSpacing"/>
              <w:jc w:val="center"/>
              <w:rPr>
                <w:rFonts w:cstheme="minorHAnsi"/>
              </w:rPr>
            </w:pPr>
            <w:r>
              <w:rPr>
                <w:rFonts w:cstheme="minorHAnsi"/>
              </w:rPr>
              <w:t>Description</w:t>
            </w:r>
          </w:p>
        </w:tc>
      </w:tr>
      <w:tr w:rsidR="00A73F78" w:rsidTr="00B307F1">
        <w:tc>
          <w:tcPr>
            <w:tcW w:w="2880" w:type="dxa"/>
            <w:tcBorders>
              <w:top w:val="single" w:sz="4" w:space="0" w:color="auto"/>
            </w:tcBorders>
          </w:tcPr>
          <w:p w:rsidR="00A73F78" w:rsidRDefault="00A73F78" w:rsidP="00B307F1">
            <w:pPr>
              <w:pStyle w:val="NoSpacing"/>
              <w:numPr>
                <w:ilvl w:val="0"/>
                <w:numId w:val="3"/>
              </w:numPr>
              <w:spacing w:before="240" w:line="480" w:lineRule="auto"/>
              <w:ind w:left="274" w:hanging="274"/>
              <w:rPr>
                <w:rFonts w:cstheme="minorHAnsi"/>
              </w:rPr>
            </w:pPr>
            <w:r>
              <w:rPr>
                <w:rFonts w:cstheme="minorHAnsi"/>
              </w:rPr>
              <w:t>Introduction to Mapping</w:t>
            </w:r>
          </w:p>
        </w:tc>
        <w:tc>
          <w:tcPr>
            <w:tcW w:w="6480" w:type="dxa"/>
            <w:tcBorders>
              <w:top w:val="single" w:sz="4" w:space="0" w:color="auto"/>
            </w:tcBorders>
          </w:tcPr>
          <w:p w:rsidR="00A73F78" w:rsidRDefault="00A73F78" w:rsidP="00FB1C32">
            <w:pPr>
              <w:pStyle w:val="NoSpacing"/>
              <w:spacing w:before="240" w:after="240"/>
              <w:rPr>
                <w:rFonts w:cstheme="minorHAnsi"/>
              </w:rPr>
            </w:pPr>
            <w:r>
              <w:rPr>
                <w:rFonts w:cstheme="minorHAnsi"/>
              </w:rPr>
              <w:t xml:space="preserve">Some background about node-link mapping, a thinking and problem solving tool that helps </w:t>
            </w:r>
            <w:r w:rsidR="00FB1C32">
              <w:rPr>
                <w:rFonts w:cstheme="minorHAnsi"/>
              </w:rPr>
              <w:t>you</w:t>
            </w:r>
            <w:r>
              <w:rPr>
                <w:rFonts w:cstheme="minorHAnsi"/>
              </w:rPr>
              <w:t xml:space="preserve"> explore </w:t>
            </w:r>
            <w:r w:rsidR="00FB1C32">
              <w:rPr>
                <w:rFonts w:cstheme="minorHAnsi"/>
              </w:rPr>
              <w:t>your</w:t>
            </w:r>
            <w:r>
              <w:rPr>
                <w:rFonts w:cstheme="minorHAnsi"/>
              </w:rPr>
              <w:t xml:space="preserve"> beliefs and decisions.</w:t>
            </w:r>
          </w:p>
        </w:tc>
      </w:tr>
      <w:tr w:rsidR="00A73F78" w:rsidTr="00B307F1">
        <w:tc>
          <w:tcPr>
            <w:tcW w:w="2880" w:type="dxa"/>
          </w:tcPr>
          <w:p w:rsidR="00A73F78" w:rsidRDefault="00A73F78" w:rsidP="00B307F1">
            <w:pPr>
              <w:pStyle w:val="NoSpacing"/>
              <w:numPr>
                <w:ilvl w:val="0"/>
                <w:numId w:val="3"/>
              </w:numPr>
              <w:spacing w:line="480" w:lineRule="auto"/>
              <w:ind w:left="270" w:hanging="270"/>
              <w:rPr>
                <w:rFonts w:cstheme="minorHAnsi"/>
              </w:rPr>
            </w:pPr>
            <w:r>
              <w:rPr>
                <w:rFonts w:cstheme="minorHAnsi"/>
              </w:rPr>
              <w:t>Risks and Reasons</w:t>
            </w:r>
          </w:p>
        </w:tc>
        <w:tc>
          <w:tcPr>
            <w:tcW w:w="6480" w:type="dxa"/>
          </w:tcPr>
          <w:p w:rsidR="00A73F78" w:rsidRDefault="00A73F78" w:rsidP="00B307F1">
            <w:pPr>
              <w:pStyle w:val="NoSpacing"/>
              <w:spacing w:after="240"/>
              <w:rPr>
                <w:rFonts w:cstheme="minorHAnsi"/>
              </w:rPr>
            </w:pPr>
            <w:r>
              <w:rPr>
                <w:rFonts w:cstheme="minorHAnsi"/>
              </w:rPr>
              <w:t>Here you find some opportunities to think about why people take risks and examine your own beliefs about risk-taking.</w:t>
            </w:r>
          </w:p>
        </w:tc>
      </w:tr>
      <w:tr w:rsidR="00A73F78" w:rsidTr="00B307F1">
        <w:tc>
          <w:tcPr>
            <w:tcW w:w="2880" w:type="dxa"/>
          </w:tcPr>
          <w:p w:rsidR="00A73F78" w:rsidRDefault="00A73F78" w:rsidP="00B307F1">
            <w:pPr>
              <w:pStyle w:val="NoSpacing"/>
              <w:numPr>
                <w:ilvl w:val="0"/>
                <w:numId w:val="3"/>
              </w:numPr>
              <w:spacing w:line="480" w:lineRule="auto"/>
              <w:ind w:left="270" w:hanging="270"/>
              <w:rPr>
                <w:rFonts w:cstheme="minorHAnsi"/>
              </w:rPr>
            </w:pPr>
            <w:r>
              <w:rPr>
                <w:rFonts w:cstheme="minorHAnsi"/>
              </w:rPr>
              <w:t>The Game</w:t>
            </w:r>
          </w:p>
        </w:tc>
        <w:tc>
          <w:tcPr>
            <w:tcW w:w="6480" w:type="dxa"/>
          </w:tcPr>
          <w:p w:rsidR="00A73F78" w:rsidRDefault="00A73F78" w:rsidP="00B307F1">
            <w:pPr>
              <w:pStyle w:val="NoSpacing"/>
              <w:spacing w:after="240"/>
              <w:rPr>
                <w:rFonts w:cstheme="minorHAnsi"/>
              </w:rPr>
            </w:pPr>
            <w:r>
              <w:rPr>
                <w:rFonts w:cstheme="minorHAnsi"/>
              </w:rPr>
              <w:t>Knowing stuff is important for survival.  This workbook helps you review what you know and what you don’t know about HIV and other illnesses.</w:t>
            </w:r>
          </w:p>
        </w:tc>
      </w:tr>
      <w:tr w:rsidR="00A73F78" w:rsidTr="00B307F1">
        <w:tc>
          <w:tcPr>
            <w:tcW w:w="2880" w:type="dxa"/>
          </w:tcPr>
          <w:p w:rsidR="00A73F78" w:rsidRDefault="00A73F78" w:rsidP="00B307F1">
            <w:pPr>
              <w:pStyle w:val="NoSpacing"/>
              <w:numPr>
                <w:ilvl w:val="0"/>
                <w:numId w:val="3"/>
              </w:numPr>
              <w:spacing w:line="480" w:lineRule="auto"/>
              <w:ind w:left="270" w:hanging="270"/>
              <w:rPr>
                <w:rFonts w:cstheme="minorHAnsi"/>
              </w:rPr>
            </w:pPr>
            <w:r>
              <w:rPr>
                <w:rFonts w:cstheme="minorHAnsi"/>
              </w:rPr>
              <w:t>The Should/Want Problem</w:t>
            </w:r>
          </w:p>
        </w:tc>
        <w:tc>
          <w:tcPr>
            <w:tcW w:w="6480" w:type="dxa"/>
          </w:tcPr>
          <w:p w:rsidR="00A73F78" w:rsidRDefault="00A73F78" w:rsidP="00FB1C32">
            <w:pPr>
              <w:pStyle w:val="NoSpacing"/>
              <w:spacing w:after="240"/>
              <w:rPr>
                <w:rFonts w:cstheme="minorHAnsi"/>
              </w:rPr>
            </w:pPr>
            <w:r>
              <w:rPr>
                <w:rFonts w:cstheme="minorHAnsi"/>
              </w:rPr>
              <w:t xml:space="preserve">It is human to WANT things.  There is also a voice that reminds </w:t>
            </w:r>
            <w:r w:rsidR="00FB1C32">
              <w:rPr>
                <w:rFonts w:cstheme="minorHAnsi"/>
              </w:rPr>
              <w:t>you</w:t>
            </w:r>
            <w:r>
              <w:rPr>
                <w:rFonts w:cstheme="minorHAnsi"/>
              </w:rPr>
              <w:t xml:space="preserve"> what </w:t>
            </w:r>
            <w:r w:rsidR="00FB1C32">
              <w:rPr>
                <w:rFonts w:cstheme="minorHAnsi"/>
              </w:rPr>
              <w:t>you</w:t>
            </w:r>
            <w:r>
              <w:rPr>
                <w:rFonts w:cstheme="minorHAnsi"/>
              </w:rPr>
              <w:t xml:space="preserve"> SHOULD do.  How do these voices influence </w:t>
            </w:r>
            <w:r w:rsidR="00FB1C32">
              <w:rPr>
                <w:rFonts w:cstheme="minorHAnsi"/>
              </w:rPr>
              <w:t>y</w:t>
            </w:r>
            <w:r>
              <w:rPr>
                <w:rFonts w:cstheme="minorHAnsi"/>
              </w:rPr>
              <w:t>our decisions?</w:t>
            </w:r>
          </w:p>
        </w:tc>
      </w:tr>
      <w:tr w:rsidR="00A73F78" w:rsidTr="00B307F1">
        <w:tc>
          <w:tcPr>
            <w:tcW w:w="2880" w:type="dxa"/>
          </w:tcPr>
          <w:p w:rsidR="00A73F78" w:rsidRDefault="00A73F78" w:rsidP="00B307F1">
            <w:pPr>
              <w:pStyle w:val="NoSpacing"/>
              <w:numPr>
                <w:ilvl w:val="0"/>
                <w:numId w:val="3"/>
              </w:numPr>
              <w:spacing w:line="480" w:lineRule="auto"/>
              <w:ind w:left="270" w:hanging="270"/>
              <w:rPr>
                <w:rFonts w:cstheme="minorHAnsi"/>
              </w:rPr>
            </w:pPr>
            <w:r>
              <w:rPr>
                <w:rFonts w:cstheme="minorHAnsi"/>
              </w:rPr>
              <w:t>Risk Scenes</w:t>
            </w:r>
          </w:p>
        </w:tc>
        <w:tc>
          <w:tcPr>
            <w:tcW w:w="6480" w:type="dxa"/>
          </w:tcPr>
          <w:p w:rsidR="00A73F78" w:rsidRDefault="00A73F78" w:rsidP="00B307F1">
            <w:pPr>
              <w:pStyle w:val="NoSpacing"/>
              <w:spacing w:after="240"/>
              <w:rPr>
                <w:rFonts w:cstheme="minorHAnsi"/>
              </w:rPr>
            </w:pPr>
            <w:r>
              <w:rPr>
                <w:rFonts w:cstheme="minorHAnsi"/>
              </w:rPr>
              <w:t>Everyone intends to avoid risks.  When it comes to avoiding HIV, turning intentions into actions requires thinking ahead about risky situations.</w:t>
            </w:r>
          </w:p>
        </w:tc>
      </w:tr>
      <w:tr w:rsidR="00A73F78" w:rsidTr="00B307F1">
        <w:tc>
          <w:tcPr>
            <w:tcW w:w="2880" w:type="dxa"/>
            <w:tcBorders>
              <w:bottom w:val="single" w:sz="4" w:space="0" w:color="auto"/>
            </w:tcBorders>
          </w:tcPr>
          <w:p w:rsidR="00A73F78" w:rsidRDefault="00A73F78" w:rsidP="00B307F1">
            <w:pPr>
              <w:pStyle w:val="NoSpacing"/>
              <w:numPr>
                <w:ilvl w:val="0"/>
                <w:numId w:val="3"/>
              </w:numPr>
              <w:spacing w:line="480" w:lineRule="auto"/>
              <w:ind w:left="270" w:hanging="270"/>
              <w:rPr>
                <w:rFonts w:cstheme="minorHAnsi"/>
              </w:rPr>
            </w:pPr>
            <w:r>
              <w:rPr>
                <w:rFonts w:cstheme="minorHAnsi"/>
              </w:rPr>
              <w:t>Planning for Risks</w:t>
            </w:r>
          </w:p>
        </w:tc>
        <w:tc>
          <w:tcPr>
            <w:tcW w:w="6480" w:type="dxa"/>
            <w:tcBorders>
              <w:bottom w:val="single" w:sz="4" w:space="0" w:color="auto"/>
            </w:tcBorders>
          </w:tcPr>
          <w:p w:rsidR="00A73F78" w:rsidRDefault="00A73F78" w:rsidP="00FB1C32">
            <w:pPr>
              <w:pStyle w:val="NoSpacing"/>
              <w:spacing w:after="240"/>
              <w:rPr>
                <w:rFonts w:cstheme="minorHAnsi"/>
              </w:rPr>
            </w:pPr>
            <w:r>
              <w:rPr>
                <w:rFonts w:cstheme="minorHAnsi"/>
              </w:rPr>
              <w:t xml:space="preserve">Most people do not do a very good job planning for how they will deal with risks in life.  </w:t>
            </w:r>
            <w:r w:rsidR="00FB1C32">
              <w:rPr>
                <w:rFonts w:cstheme="minorHAnsi"/>
              </w:rPr>
              <w:t>You should l</w:t>
            </w:r>
            <w:r>
              <w:rPr>
                <w:rFonts w:cstheme="minorHAnsi"/>
              </w:rPr>
              <w:t>earn how to think ahead and enjoy the benefits.</w:t>
            </w:r>
          </w:p>
        </w:tc>
      </w:tr>
    </w:tbl>
    <w:p w:rsidR="00A73F78" w:rsidRDefault="00A73F78" w:rsidP="00A73F78">
      <w:pPr>
        <w:pStyle w:val="NoSpacing"/>
        <w:spacing w:line="480" w:lineRule="auto"/>
        <w:ind w:firstLine="720"/>
        <w:rPr>
          <w:rFonts w:cstheme="minorHAnsi"/>
        </w:rPr>
      </w:pPr>
    </w:p>
    <w:p w:rsidR="00A73F78" w:rsidRDefault="00A73F78" w:rsidP="00A73F78">
      <w:pPr>
        <w:rPr>
          <w:rFonts w:cstheme="minorHAnsi"/>
        </w:rPr>
      </w:pPr>
      <w:r>
        <w:rPr>
          <w:rFonts w:cstheme="minorHAnsi"/>
        </w:rPr>
        <w:br w:type="page"/>
      </w:r>
    </w:p>
    <w:p w:rsidR="00A73F78" w:rsidRDefault="00A73F78" w:rsidP="00A73F78">
      <w:pPr>
        <w:pStyle w:val="NoSpacing"/>
        <w:spacing w:line="480" w:lineRule="auto"/>
        <w:rPr>
          <w:rFonts w:cstheme="minorHAnsi"/>
        </w:rPr>
      </w:pPr>
      <w:r>
        <w:rPr>
          <w:rFonts w:cstheme="minorHAnsi"/>
        </w:rPr>
        <w:lastRenderedPageBreak/>
        <w:t xml:space="preserve">Table </w:t>
      </w:r>
      <w:r w:rsidR="00FC35CB">
        <w:rPr>
          <w:rFonts w:cstheme="minorHAnsi"/>
        </w:rPr>
        <w:t>2</w:t>
      </w:r>
      <w:r>
        <w:rPr>
          <w:rFonts w:cstheme="minorHAnsi"/>
        </w:rPr>
        <w:t xml:space="preserve">:  </w:t>
      </w:r>
      <w:r w:rsidRPr="00C1173E">
        <w:rPr>
          <w:rFonts w:cstheme="minorHAnsi"/>
          <w:i/>
        </w:rPr>
        <w:t>WaySafe</w:t>
      </w:r>
      <w:r>
        <w:rPr>
          <w:rFonts w:cstheme="minorHAnsi"/>
        </w:rPr>
        <w:t xml:space="preserve"> Pre- and Post-test Measures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1"/>
        <w:gridCol w:w="1078"/>
        <w:gridCol w:w="1080"/>
        <w:gridCol w:w="1080"/>
        <w:gridCol w:w="3961"/>
      </w:tblGrid>
      <w:tr w:rsidR="00A73F78" w:rsidTr="00B307F1">
        <w:tc>
          <w:tcPr>
            <w:tcW w:w="2161" w:type="dxa"/>
            <w:tcBorders>
              <w:top w:val="single" w:sz="4" w:space="0" w:color="auto"/>
            </w:tcBorders>
            <w:vAlign w:val="bottom"/>
          </w:tcPr>
          <w:p w:rsidR="00A73F78" w:rsidRDefault="00A73F78" w:rsidP="00B307F1">
            <w:pPr>
              <w:pStyle w:val="NoSpacing"/>
              <w:jc w:val="center"/>
              <w:rPr>
                <w:rFonts w:cstheme="minorHAnsi"/>
              </w:rPr>
            </w:pPr>
          </w:p>
        </w:tc>
        <w:tc>
          <w:tcPr>
            <w:tcW w:w="1078" w:type="dxa"/>
            <w:tcBorders>
              <w:top w:val="single" w:sz="4" w:space="0" w:color="auto"/>
            </w:tcBorders>
            <w:vAlign w:val="bottom"/>
          </w:tcPr>
          <w:p w:rsidR="00A73F78" w:rsidRDefault="00A73F78" w:rsidP="00B307F1">
            <w:pPr>
              <w:pStyle w:val="NoSpacing"/>
              <w:jc w:val="center"/>
              <w:rPr>
                <w:rFonts w:cstheme="minorHAnsi"/>
              </w:rPr>
            </w:pPr>
          </w:p>
        </w:tc>
        <w:tc>
          <w:tcPr>
            <w:tcW w:w="2160" w:type="dxa"/>
            <w:gridSpan w:val="2"/>
            <w:tcBorders>
              <w:top w:val="single" w:sz="4" w:space="0" w:color="auto"/>
              <w:bottom w:val="single" w:sz="4" w:space="0" w:color="auto"/>
            </w:tcBorders>
          </w:tcPr>
          <w:p w:rsidR="00A73F78" w:rsidRDefault="00A73F78" w:rsidP="00B307F1">
            <w:pPr>
              <w:pStyle w:val="NoSpacing"/>
              <w:jc w:val="center"/>
              <w:rPr>
                <w:rFonts w:cstheme="minorHAnsi"/>
              </w:rPr>
            </w:pPr>
            <w:r>
              <w:rPr>
                <w:rFonts w:cstheme="minorHAnsi"/>
              </w:rPr>
              <w:t>Chronbach’s alpha</w:t>
            </w:r>
          </w:p>
        </w:tc>
        <w:tc>
          <w:tcPr>
            <w:tcW w:w="3961" w:type="dxa"/>
            <w:tcBorders>
              <w:top w:val="single" w:sz="4" w:space="0" w:color="auto"/>
            </w:tcBorders>
            <w:vAlign w:val="bottom"/>
          </w:tcPr>
          <w:p w:rsidR="00A73F78" w:rsidRDefault="00A73F78" w:rsidP="00B307F1">
            <w:pPr>
              <w:pStyle w:val="NoSpacing"/>
              <w:jc w:val="center"/>
              <w:rPr>
                <w:rFonts w:cstheme="minorHAnsi"/>
              </w:rPr>
            </w:pPr>
          </w:p>
        </w:tc>
      </w:tr>
      <w:tr w:rsidR="00A73F78" w:rsidTr="00B307F1">
        <w:tc>
          <w:tcPr>
            <w:tcW w:w="2161" w:type="dxa"/>
            <w:tcBorders>
              <w:bottom w:val="single" w:sz="4" w:space="0" w:color="auto"/>
            </w:tcBorders>
            <w:vAlign w:val="bottom"/>
          </w:tcPr>
          <w:p w:rsidR="00A73F78" w:rsidRDefault="00A73F78" w:rsidP="00B307F1">
            <w:pPr>
              <w:pStyle w:val="NoSpacing"/>
              <w:jc w:val="center"/>
              <w:rPr>
                <w:rFonts w:cstheme="minorHAnsi"/>
              </w:rPr>
            </w:pPr>
            <w:r>
              <w:rPr>
                <w:rFonts w:cstheme="minorHAnsi"/>
              </w:rPr>
              <w:t>Scale Name</w:t>
            </w:r>
          </w:p>
        </w:tc>
        <w:tc>
          <w:tcPr>
            <w:tcW w:w="1078" w:type="dxa"/>
            <w:tcBorders>
              <w:bottom w:val="single" w:sz="4" w:space="0" w:color="auto"/>
            </w:tcBorders>
            <w:vAlign w:val="bottom"/>
          </w:tcPr>
          <w:p w:rsidR="00A73F78" w:rsidRDefault="00A73F78" w:rsidP="00B307F1">
            <w:pPr>
              <w:pStyle w:val="NoSpacing"/>
              <w:jc w:val="center"/>
              <w:rPr>
                <w:rFonts w:cstheme="minorHAnsi"/>
              </w:rPr>
            </w:pPr>
            <w:r>
              <w:rPr>
                <w:rFonts w:cstheme="minorHAnsi"/>
              </w:rPr>
              <w:t>Items</w:t>
            </w:r>
          </w:p>
        </w:tc>
        <w:tc>
          <w:tcPr>
            <w:tcW w:w="1080" w:type="dxa"/>
            <w:tcBorders>
              <w:top w:val="single" w:sz="4" w:space="0" w:color="auto"/>
              <w:bottom w:val="single" w:sz="4" w:space="0" w:color="auto"/>
            </w:tcBorders>
          </w:tcPr>
          <w:p w:rsidR="00A73F78" w:rsidRDefault="00A73F78" w:rsidP="00B307F1">
            <w:pPr>
              <w:pStyle w:val="NoSpacing"/>
              <w:jc w:val="center"/>
              <w:rPr>
                <w:rFonts w:cstheme="minorHAnsi"/>
              </w:rPr>
            </w:pPr>
            <w:r>
              <w:rPr>
                <w:rFonts w:cstheme="minorHAnsi"/>
              </w:rPr>
              <w:t>Pre-test</w:t>
            </w:r>
          </w:p>
        </w:tc>
        <w:tc>
          <w:tcPr>
            <w:tcW w:w="1080" w:type="dxa"/>
            <w:tcBorders>
              <w:top w:val="single" w:sz="4" w:space="0" w:color="auto"/>
              <w:bottom w:val="single" w:sz="4" w:space="0" w:color="auto"/>
            </w:tcBorders>
          </w:tcPr>
          <w:p w:rsidR="00A73F78" w:rsidRDefault="00A73F78" w:rsidP="00B307F1">
            <w:pPr>
              <w:pStyle w:val="NoSpacing"/>
              <w:jc w:val="center"/>
              <w:rPr>
                <w:rFonts w:cstheme="minorHAnsi"/>
              </w:rPr>
            </w:pPr>
            <w:r>
              <w:rPr>
                <w:rFonts w:cstheme="minorHAnsi"/>
              </w:rPr>
              <w:t>Post-test</w:t>
            </w:r>
          </w:p>
        </w:tc>
        <w:tc>
          <w:tcPr>
            <w:tcW w:w="3961" w:type="dxa"/>
            <w:tcBorders>
              <w:bottom w:val="single" w:sz="4" w:space="0" w:color="auto"/>
            </w:tcBorders>
            <w:vAlign w:val="bottom"/>
          </w:tcPr>
          <w:p w:rsidR="00A73F78" w:rsidRDefault="00A73F78" w:rsidP="00B307F1">
            <w:pPr>
              <w:pStyle w:val="NoSpacing"/>
              <w:jc w:val="center"/>
              <w:rPr>
                <w:rFonts w:cstheme="minorHAnsi"/>
              </w:rPr>
            </w:pPr>
            <w:r>
              <w:rPr>
                <w:rFonts w:cstheme="minorHAnsi"/>
              </w:rPr>
              <w:t>Description</w:t>
            </w:r>
          </w:p>
        </w:tc>
      </w:tr>
      <w:tr w:rsidR="00A73F78" w:rsidTr="00B307F1">
        <w:tc>
          <w:tcPr>
            <w:tcW w:w="2161" w:type="dxa"/>
            <w:tcBorders>
              <w:top w:val="single" w:sz="4" w:space="0" w:color="auto"/>
            </w:tcBorders>
          </w:tcPr>
          <w:p w:rsidR="00A73F78" w:rsidRDefault="00A73F78" w:rsidP="00B307F1">
            <w:pPr>
              <w:pStyle w:val="NoSpacing"/>
              <w:spacing w:before="240" w:after="240"/>
              <w:rPr>
                <w:rFonts w:cstheme="minorHAnsi"/>
              </w:rPr>
            </w:pPr>
            <w:r>
              <w:rPr>
                <w:rFonts w:cstheme="minorHAnsi"/>
              </w:rPr>
              <w:t>HIV Knowledge Confidence</w:t>
            </w:r>
          </w:p>
        </w:tc>
        <w:tc>
          <w:tcPr>
            <w:tcW w:w="1078" w:type="dxa"/>
            <w:tcBorders>
              <w:top w:val="single" w:sz="4" w:space="0" w:color="auto"/>
            </w:tcBorders>
          </w:tcPr>
          <w:p w:rsidR="00A73F78" w:rsidRDefault="00A73F78" w:rsidP="00B307F1">
            <w:pPr>
              <w:pStyle w:val="NoSpacing"/>
              <w:tabs>
                <w:tab w:val="decimal" w:pos="702"/>
              </w:tabs>
              <w:spacing w:before="240" w:after="240"/>
              <w:rPr>
                <w:rFonts w:cstheme="minorHAnsi"/>
              </w:rPr>
            </w:pPr>
            <w:r>
              <w:rPr>
                <w:rFonts w:cstheme="minorHAnsi"/>
              </w:rPr>
              <w:t>13</w:t>
            </w:r>
          </w:p>
        </w:tc>
        <w:tc>
          <w:tcPr>
            <w:tcW w:w="1080" w:type="dxa"/>
            <w:tcBorders>
              <w:top w:val="single" w:sz="4" w:space="0" w:color="auto"/>
            </w:tcBorders>
          </w:tcPr>
          <w:p w:rsidR="00A73F78" w:rsidRDefault="00A73F78" w:rsidP="00B307F1">
            <w:pPr>
              <w:pStyle w:val="NoSpacing"/>
              <w:tabs>
                <w:tab w:val="decimal" w:pos="378"/>
              </w:tabs>
              <w:spacing w:before="240" w:after="240"/>
              <w:rPr>
                <w:rFonts w:cstheme="minorHAnsi"/>
              </w:rPr>
            </w:pPr>
            <w:r>
              <w:rPr>
                <w:rFonts w:cstheme="minorHAnsi"/>
              </w:rPr>
              <w:t>.89</w:t>
            </w:r>
          </w:p>
        </w:tc>
        <w:tc>
          <w:tcPr>
            <w:tcW w:w="1080" w:type="dxa"/>
            <w:tcBorders>
              <w:top w:val="single" w:sz="4" w:space="0" w:color="auto"/>
            </w:tcBorders>
          </w:tcPr>
          <w:p w:rsidR="00A73F78" w:rsidRDefault="00A73F78" w:rsidP="00B307F1">
            <w:pPr>
              <w:pStyle w:val="NoSpacing"/>
              <w:tabs>
                <w:tab w:val="decimal" w:pos="271"/>
              </w:tabs>
              <w:spacing w:before="240" w:after="240"/>
              <w:rPr>
                <w:rFonts w:cstheme="minorHAnsi"/>
              </w:rPr>
            </w:pPr>
            <w:r>
              <w:rPr>
                <w:rFonts w:cstheme="minorHAnsi"/>
              </w:rPr>
              <w:t>.94</w:t>
            </w:r>
          </w:p>
        </w:tc>
        <w:tc>
          <w:tcPr>
            <w:tcW w:w="3961" w:type="dxa"/>
            <w:tcBorders>
              <w:top w:val="single" w:sz="4" w:space="0" w:color="auto"/>
            </w:tcBorders>
          </w:tcPr>
          <w:p w:rsidR="00A73F78" w:rsidRDefault="00A73F78" w:rsidP="00B307F1">
            <w:pPr>
              <w:pStyle w:val="NoSpacing"/>
              <w:spacing w:before="240" w:after="240"/>
              <w:rPr>
                <w:rFonts w:cstheme="minorHAnsi"/>
              </w:rPr>
            </w:pPr>
            <w:r>
              <w:rPr>
                <w:rFonts w:cstheme="minorHAnsi"/>
              </w:rPr>
              <w:t>Knowledge about avoiding HIV and confidence and motivation to talk with others about avoiding HIV</w:t>
            </w:r>
          </w:p>
        </w:tc>
      </w:tr>
      <w:tr w:rsidR="00A73F78" w:rsidTr="00B307F1">
        <w:tc>
          <w:tcPr>
            <w:tcW w:w="2161" w:type="dxa"/>
          </w:tcPr>
          <w:p w:rsidR="00A73F78" w:rsidRDefault="00A73F78" w:rsidP="00B307F1">
            <w:pPr>
              <w:pStyle w:val="NoSpacing"/>
              <w:spacing w:after="240"/>
              <w:rPr>
                <w:rFonts w:cstheme="minorHAnsi"/>
              </w:rPr>
            </w:pPr>
            <w:r>
              <w:rPr>
                <w:rFonts w:cstheme="minorHAnsi"/>
              </w:rPr>
              <w:t>Avoiding Risky Sex</w:t>
            </w:r>
          </w:p>
        </w:tc>
        <w:tc>
          <w:tcPr>
            <w:tcW w:w="1078" w:type="dxa"/>
          </w:tcPr>
          <w:p w:rsidR="00A73F78" w:rsidRDefault="00A73F78" w:rsidP="00B307F1">
            <w:pPr>
              <w:pStyle w:val="NoSpacing"/>
              <w:tabs>
                <w:tab w:val="decimal" w:pos="702"/>
              </w:tabs>
              <w:spacing w:after="240"/>
              <w:rPr>
                <w:rFonts w:cstheme="minorHAnsi"/>
              </w:rPr>
            </w:pPr>
            <w:r>
              <w:rPr>
                <w:rFonts w:cstheme="minorHAnsi"/>
              </w:rPr>
              <w:t>13</w:t>
            </w:r>
          </w:p>
        </w:tc>
        <w:tc>
          <w:tcPr>
            <w:tcW w:w="1080" w:type="dxa"/>
          </w:tcPr>
          <w:p w:rsidR="00A73F78" w:rsidRDefault="00A73F78" w:rsidP="00B307F1">
            <w:pPr>
              <w:pStyle w:val="NoSpacing"/>
              <w:tabs>
                <w:tab w:val="decimal" w:pos="378"/>
              </w:tabs>
              <w:spacing w:after="240"/>
              <w:rPr>
                <w:rFonts w:cstheme="minorHAnsi"/>
              </w:rPr>
            </w:pPr>
            <w:r>
              <w:rPr>
                <w:rFonts w:cstheme="minorHAnsi"/>
              </w:rPr>
              <w:t>.91</w:t>
            </w:r>
          </w:p>
        </w:tc>
        <w:tc>
          <w:tcPr>
            <w:tcW w:w="1080" w:type="dxa"/>
          </w:tcPr>
          <w:p w:rsidR="00A73F78" w:rsidRDefault="00A73F78" w:rsidP="00B307F1">
            <w:pPr>
              <w:pStyle w:val="NoSpacing"/>
              <w:tabs>
                <w:tab w:val="decimal" w:pos="271"/>
              </w:tabs>
              <w:spacing w:after="240"/>
              <w:rPr>
                <w:rFonts w:cstheme="minorHAnsi"/>
              </w:rPr>
            </w:pPr>
            <w:r>
              <w:rPr>
                <w:rFonts w:cstheme="minorHAnsi"/>
              </w:rPr>
              <w:t>.93</w:t>
            </w:r>
          </w:p>
        </w:tc>
        <w:tc>
          <w:tcPr>
            <w:tcW w:w="3961" w:type="dxa"/>
          </w:tcPr>
          <w:p w:rsidR="00A73F78" w:rsidRDefault="00A73F78" w:rsidP="00B307F1">
            <w:pPr>
              <w:pStyle w:val="NoSpacing"/>
              <w:spacing w:after="240"/>
              <w:rPr>
                <w:rFonts w:cstheme="minorHAnsi"/>
              </w:rPr>
            </w:pPr>
            <w:r>
              <w:rPr>
                <w:rFonts w:cstheme="minorHAnsi"/>
              </w:rPr>
              <w:t>Knowledge about risky sex and confidence and motivation to avoid risky sex activities</w:t>
            </w:r>
          </w:p>
        </w:tc>
      </w:tr>
      <w:tr w:rsidR="00A73F78" w:rsidTr="00B307F1">
        <w:tc>
          <w:tcPr>
            <w:tcW w:w="2161" w:type="dxa"/>
          </w:tcPr>
          <w:p w:rsidR="00A73F78" w:rsidRDefault="00A73F78" w:rsidP="00B307F1">
            <w:pPr>
              <w:pStyle w:val="NoSpacing"/>
              <w:spacing w:after="240"/>
              <w:rPr>
                <w:rFonts w:cstheme="minorHAnsi"/>
              </w:rPr>
            </w:pPr>
            <w:r>
              <w:rPr>
                <w:rFonts w:cstheme="minorHAnsi"/>
              </w:rPr>
              <w:t>Avoiding Risky Drug Use</w:t>
            </w:r>
          </w:p>
        </w:tc>
        <w:tc>
          <w:tcPr>
            <w:tcW w:w="1078" w:type="dxa"/>
          </w:tcPr>
          <w:p w:rsidR="00A73F78" w:rsidRDefault="00A73F78" w:rsidP="00B307F1">
            <w:pPr>
              <w:pStyle w:val="NoSpacing"/>
              <w:tabs>
                <w:tab w:val="decimal" w:pos="702"/>
              </w:tabs>
              <w:spacing w:after="240"/>
              <w:rPr>
                <w:rFonts w:cstheme="minorHAnsi"/>
              </w:rPr>
            </w:pPr>
            <w:r>
              <w:rPr>
                <w:rFonts w:cstheme="minorHAnsi"/>
              </w:rPr>
              <w:t>12</w:t>
            </w:r>
          </w:p>
        </w:tc>
        <w:tc>
          <w:tcPr>
            <w:tcW w:w="1080" w:type="dxa"/>
          </w:tcPr>
          <w:p w:rsidR="00A73F78" w:rsidRDefault="00A73F78" w:rsidP="00B307F1">
            <w:pPr>
              <w:pStyle w:val="NoSpacing"/>
              <w:tabs>
                <w:tab w:val="decimal" w:pos="378"/>
              </w:tabs>
              <w:spacing w:after="240"/>
              <w:rPr>
                <w:rFonts w:cstheme="minorHAnsi"/>
              </w:rPr>
            </w:pPr>
            <w:r>
              <w:rPr>
                <w:rFonts w:cstheme="minorHAnsi"/>
              </w:rPr>
              <w:t>.85</w:t>
            </w:r>
          </w:p>
        </w:tc>
        <w:tc>
          <w:tcPr>
            <w:tcW w:w="1080" w:type="dxa"/>
          </w:tcPr>
          <w:p w:rsidR="00A73F78" w:rsidRDefault="00A73F78" w:rsidP="00B307F1">
            <w:pPr>
              <w:pStyle w:val="NoSpacing"/>
              <w:tabs>
                <w:tab w:val="decimal" w:pos="271"/>
              </w:tabs>
              <w:spacing w:after="240"/>
              <w:rPr>
                <w:rFonts w:cstheme="minorHAnsi"/>
              </w:rPr>
            </w:pPr>
            <w:r>
              <w:rPr>
                <w:rFonts w:cstheme="minorHAnsi"/>
              </w:rPr>
              <w:t>.88</w:t>
            </w:r>
          </w:p>
        </w:tc>
        <w:tc>
          <w:tcPr>
            <w:tcW w:w="3961" w:type="dxa"/>
          </w:tcPr>
          <w:p w:rsidR="00A73F78" w:rsidRDefault="00A73F78" w:rsidP="00B307F1">
            <w:pPr>
              <w:pStyle w:val="NoSpacing"/>
              <w:spacing w:after="240"/>
              <w:rPr>
                <w:rFonts w:cstheme="minorHAnsi"/>
              </w:rPr>
            </w:pPr>
            <w:r>
              <w:rPr>
                <w:rFonts w:cstheme="minorHAnsi"/>
              </w:rPr>
              <w:t>Knowledge about risky drug use and confidence and motivation to avoid risky drug use activities</w:t>
            </w:r>
          </w:p>
        </w:tc>
      </w:tr>
      <w:tr w:rsidR="00A73F78" w:rsidTr="00B307F1">
        <w:tc>
          <w:tcPr>
            <w:tcW w:w="2161" w:type="dxa"/>
          </w:tcPr>
          <w:p w:rsidR="00A73F78" w:rsidRDefault="00A73F78" w:rsidP="00B307F1">
            <w:pPr>
              <w:pStyle w:val="NoSpacing"/>
              <w:spacing w:after="240"/>
              <w:rPr>
                <w:rFonts w:cstheme="minorHAnsi"/>
              </w:rPr>
            </w:pPr>
            <w:r>
              <w:rPr>
                <w:rFonts w:cstheme="minorHAnsi"/>
              </w:rPr>
              <w:t>HIV Services and Testing</w:t>
            </w:r>
          </w:p>
        </w:tc>
        <w:tc>
          <w:tcPr>
            <w:tcW w:w="1078" w:type="dxa"/>
          </w:tcPr>
          <w:p w:rsidR="00A73F78" w:rsidRDefault="00A73F78" w:rsidP="00B307F1">
            <w:pPr>
              <w:pStyle w:val="NoSpacing"/>
              <w:tabs>
                <w:tab w:val="decimal" w:pos="702"/>
              </w:tabs>
              <w:spacing w:after="240"/>
              <w:rPr>
                <w:rFonts w:cstheme="minorHAnsi"/>
              </w:rPr>
            </w:pPr>
            <w:r>
              <w:rPr>
                <w:rFonts w:cstheme="minorHAnsi"/>
              </w:rPr>
              <w:t>7</w:t>
            </w:r>
          </w:p>
        </w:tc>
        <w:tc>
          <w:tcPr>
            <w:tcW w:w="1080" w:type="dxa"/>
          </w:tcPr>
          <w:p w:rsidR="00A73F78" w:rsidRDefault="00A73F78" w:rsidP="00B307F1">
            <w:pPr>
              <w:pStyle w:val="NoSpacing"/>
              <w:tabs>
                <w:tab w:val="decimal" w:pos="378"/>
              </w:tabs>
              <w:spacing w:after="240"/>
              <w:rPr>
                <w:rFonts w:cstheme="minorHAnsi"/>
              </w:rPr>
            </w:pPr>
            <w:r>
              <w:rPr>
                <w:rFonts w:cstheme="minorHAnsi"/>
              </w:rPr>
              <w:t>.76</w:t>
            </w:r>
          </w:p>
        </w:tc>
        <w:tc>
          <w:tcPr>
            <w:tcW w:w="1080" w:type="dxa"/>
          </w:tcPr>
          <w:p w:rsidR="00A73F78" w:rsidRDefault="00A73F78" w:rsidP="00B307F1">
            <w:pPr>
              <w:pStyle w:val="NoSpacing"/>
              <w:tabs>
                <w:tab w:val="decimal" w:pos="271"/>
              </w:tabs>
              <w:spacing w:after="240"/>
              <w:rPr>
                <w:rFonts w:cstheme="minorHAnsi"/>
              </w:rPr>
            </w:pPr>
            <w:r>
              <w:rPr>
                <w:rFonts w:cstheme="minorHAnsi"/>
              </w:rPr>
              <w:t>.83</w:t>
            </w:r>
          </w:p>
        </w:tc>
        <w:tc>
          <w:tcPr>
            <w:tcW w:w="3961" w:type="dxa"/>
          </w:tcPr>
          <w:p w:rsidR="00A73F78" w:rsidRDefault="00A73F78" w:rsidP="00B307F1">
            <w:pPr>
              <w:pStyle w:val="NoSpacing"/>
              <w:spacing w:after="240"/>
              <w:rPr>
                <w:rFonts w:cstheme="minorHAnsi"/>
              </w:rPr>
            </w:pPr>
            <w:r>
              <w:rPr>
                <w:rFonts w:cstheme="minorHAnsi"/>
              </w:rPr>
              <w:t>Knowledge about getting tested for HIV and obtaining HIV services and motivation to get tested regularly</w:t>
            </w:r>
          </w:p>
        </w:tc>
      </w:tr>
      <w:tr w:rsidR="00A73F78" w:rsidTr="00B307F1">
        <w:tc>
          <w:tcPr>
            <w:tcW w:w="2161" w:type="dxa"/>
            <w:tcBorders>
              <w:bottom w:val="single" w:sz="4" w:space="0" w:color="auto"/>
            </w:tcBorders>
          </w:tcPr>
          <w:p w:rsidR="00A73F78" w:rsidRDefault="00A73F78" w:rsidP="00B307F1">
            <w:pPr>
              <w:pStyle w:val="NoSpacing"/>
              <w:spacing w:after="240"/>
              <w:rPr>
                <w:rFonts w:cstheme="minorHAnsi"/>
              </w:rPr>
            </w:pPr>
            <w:r>
              <w:rPr>
                <w:rFonts w:cstheme="minorHAnsi"/>
              </w:rPr>
              <w:t>Risk Reduction Skills</w:t>
            </w:r>
          </w:p>
        </w:tc>
        <w:tc>
          <w:tcPr>
            <w:tcW w:w="1078" w:type="dxa"/>
            <w:tcBorders>
              <w:bottom w:val="single" w:sz="4" w:space="0" w:color="auto"/>
            </w:tcBorders>
          </w:tcPr>
          <w:p w:rsidR="00A73F78" w:rsidRDefault="00A73F78" w:rsidP="00B307F1">
            <w:pPr>
              <w:pStyle w:val="NoSpacing"/>
              <w:tabs>
                <w:tab w:val="decimal" w:pos="702"/>
              </w:tabs>
              <w:spacing w:after="240"/>
              <w:rPr>
                <w:rFonts w:cstheme="minorHAnsi"/>
              </w:rPr>
            </w:pPr>
            <w:r>
              <w:rPr>
                <w:rFonts w:cstheme="minorHAnsi"/>
              </w:rPr>
              <w:t>14</w:t>
            </w:r>
          </w:p>
        </w:tc>
        <w:tc>
          <w:tcPr>
            <w:tcW w:w="1080" w:type="dxa"/>
            <w:tcBorders>
              <w:bottom w:val="single" w:sz="4" w:space="0" w:color="auto"/>
            </w:tcBorders>
          </w:tcPr>
          <w:p w:rsidR="00A73F78" w:rsidRDefault="00A73F78" w:rsidP="00B307F1">
            <w:pPr>
              <w:pStyle w:val="NoSpacing"/>
              <w:tabs>
                <w:tab w:val="decimal" w:pos="378"/>
              </w:tabs>
              <w:spacing w:after="240"/>
              <w:rPr>
                <w:rFonts w:cstheme="minorHAnsi"/>
              </w:rPr>
            </w:pPr>
            <w:r>
              <w:rPr>
                <w:rFonts w:cstheme="minorHAnsi"/>
              </w:rPr>
              <w:t>.85</w:t>
            </w:r>
          </w:p>
        </w:tc>
        <w:tc>
          <w:tcPr>
            <w:tcW w:w="1080" w:type="dxa"/>
            <w:tcBorders>
              <w:bottom w:val="single" w:sz="4" w:space="0" w:color="auto"/>
            </w:tcBorders>
          </w:tcPr>
          <w:p w:rsidR="00A73F78" w:rsidRDefault="00A73F78" w:rsidP="00B307F1">
            <w:pPr>
              <w:pStyle w:val="NoSpacing"/>
              <w:tabs>
                <w:tab w:val="decimal" w:pos="271"/>
              </w:tabs>
              <w:spacing w:after="240"/>
              <w:rPr>
                <w:rFonts w:cstheme="minorHAnsi"/>
              </w:rPr>
            </w:pPr>
            <w:r>
              <w:rPr>
                <w:rFonts w:cstheme="minorHAnsi"/>
              </w:rPr>
              <w:t>.90</w:t>
            </w:r>
          </w:p>
        </w:tc>
        <w:tc>
          <w:tcPr>
            <w:tcW w:w="3961" w:type="dxa"/>
            <w:tcBorders>
              <w:bottom w:val="single" w:sz="4" w:space="0" w:color="auto"/>
            </w:tcBorders>
          </w:tcPr>
          <w:p w:rsidR="00A73F78" w:rsidRDefault="00A73F78" w:rsidP="00B307F1">
            <w:pPr>
              <w:pStyle w:val="NoSpacing"/>
              <w:spacing w:after="240"/>
              <w:rPr>
                <w:rFonts w:cstheme="minorHAnsi"/>
              </w:rPr>
            </w:pPr>
            <w:r>
              <w:rPr>
                <w:rFonts w:cstheme="minorHAnsi"/>
              </w:rPr>
              <w:t>Having skills for preventing HIV and having the confidence and motivation to use those skills</w:t>
            </w:r>
          </w:p>
        </w:tc>
      </w:tr>
    </w:tbl>
    <w:p w:rsidR="00A73F78" w:rsidRDefault="00A73F78" w:rsidP="00A73F78">
      <w:pPr>
        <w:pStyle w:val="NoSpacing"/>
        <w:spacing w:line="480" w:lineRule="auto"/>
        <w:rPr>
          <w:rFonts w:cstheme="minorHAnsi"/>
        </w:rPr>
      </w:pPr>
    </w:p>
    <w:p w:rsidR="00A73F78" w:rsidRDefault="00A73F78" w:rsidP="00A73F78">
      <w:pPr>
        <w:rPr>
          <w:rFonts w:cstheme="minorHAnsi"/>
        </w:rPr>
      </w:pPr>
      <w:r>
        <w:rPr>
          <w:rFonts w:cstheme="minorHAnsi"/>
        </w:rPr>
        <w:br w:type="page"/>
      </w:r>
    </w:p>
    <w:p w:rsidR="00FC35CB" w:rsidRDefault="00FC35CB" w:rsidP="00FC35CB">
      <w:pPr>
        <w:pStyle w:val="NoSpacing"/>
        <w:spacing w:line="480" w:lineRule="auto"/>
        <w:rPr>
          <w:rFonts w:cstheme="minorHAnsi"/>
        </w:rPr>
      </w:pPr>
      <w:r>
        <w:rPr>
          <w:rFonts w:cstheme="minorHAnsi"/>
        </w:rPr>
        <w:lastRenderedPageBreak/>
        <w:t>Table 3:  Sample Characteristics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gridCol w:w="1296"/>
        <w:gridCol w:w="1296"/>
        <w:gridCol w:w="1296"/>
        <w:gridCol w:w="1296"/>
      </w:tblGrid>
      <w:tr w:rsidR="00065F9A" w:rsidTr="00065F9A">
        <w:tc>
          <w:tcPr>
            <w:tcW w:w="4176" w:type="dxa"/>
            <w:tcBorders>
              <w:top w:val="single" w:sz="4" w:space="0" w:color="auto"/>
              <w:bottom w:val="single" w:sz="4" w:space="0" w:color="auto"/>
            </w:tcBorders>
            <w:vAlign w:val="bottom"/>
          </w:tcPr>
          <w:p w:rsidR="00FC35CB" w:rsidRDefault="00FC35CB" w:rsidP="0071027D">
            <w:pPr>
              <w:pStyle w:val="NoSpacing"/>
              <w:jc w:val="center"/>
              <w:rPr>
                <w:rFonts w:cstheme="minorHAnsi"/>
              </w:rPr>
            </w:pPr>
          </w:p>
        </w:tc>
        <w:tc>
          <w:tcPr>
            <w:tcW w:w="1296" w:type="dxa"/>
            <w:tcBorders>
              <w:top w:val="single" w:sz="4" w:space="0" w:color="auto"/>
              <w:bottom w:val="single" w:sz="4" w:space="0" w:color="auto"/>
            </w:tcBorders>
            <w:vAlign w:val="bottom"/>
          </w:tcPr>
          <w:p w:rsidR="00FC35CB" w:rsidRDefault="00FC35CB" w:rsidP="0065085F">
            <w:pPr>
              <w:pStyle w:val="NoSpacing"/>
              <w:jc w:val="center"/>
              <w:rPr>
                <w:rFonts w:cstheme="minorHAnsi"/>
              </w:rPr>
            </w:pPr>
            <w:r>
              <w:rPr>
                <w:rFonts w:cstheme="minorHAnsi"/>
              </w:rPr>
              <w:t>TAU</w:t>
            </w:r>
          </w:p>
        </w:tc>
        <w:tc>
          <w:tcPr>
            <w:tcW w:w="1296" w:type="dxa"/>
            <w:tcBorders>
              <w:top w:val="single" w:sz="4" w:space="0" w:color="auto"/>
              <w:bottom w:val="single" w:sz="4" w:space="0" w:color="auto"/>
            </w:tcBorders>
          </w:tcPr>
          <w:p w:rsidR="00FC35CB" w:rsidRPr="00450DFF" w:rsidRDefault="00FC35CB" w:rsidP="0065085F">
            <w:pPr>
              <w:pStyle w:val="NoSpacing"/>
              <w:jc w:val="center"/>
              <w:rPr>
                <w:rFonts w:cstheme="minorHAnsi"/>
                <w:i/>
              </w:rPr>
            </w:pPr>
            <w:r w:rsidRPr="00450DFF">
              <w:rPr>
                <w:rFonts w:cstheme="minorHAnsi"/>
                <w:i/>
              </w:rPr>
              <w:t>WaySafe</w:t>
            </w:r>
          </w:p>
        </w:tc>
        <w:tc>
          <w:tcPr>
            <w:tcW w:w="1296" w:type="dxa"/>
            <w:tcBorders>
              <w:top w:val="single" w:sz="4" w:space="0" w:color="auto"/>
              <w:bottom w:val="single" w:sz="4" w:space="0" w:color="auto"/>
            </w:tcBorders>
          </w:tcPr>
          <w:p w:rsidR="00FC35CB" w:rsidRDefault="00FC35CB" w:rsidP="0065085F">
            <w:pPr>
              <w:pStyle w:val="NoSpacing"/>
              <w:jc w:val="center"/>
              <w:rPr>
                <w:rFonts w:cstheme="minorHAnsi"/>
              </w:rPr>
            </w:pPr>
            <w:r>
              <w:rPr>
                <w:rFonts w:cstheme="minorHAnsi"/>
              </w:rPr>
              <w:t>Total</w:t>
            </w:r>
          </w:p>
        </w:tc>
        <w:tc>
          <w:tcPr>
            <w:tcW w:w="1296" w:type="dxa"/>
            <w:tcBorders>
              <w:top w:val="single" w:sz="4" w:space="0" w:color="auto"/>
              <w:bottom w:val="single" w:sz="4" w:space="0" w:color="auto"/>
            </w:tcBorders>
          </w:tcPr>
          <w:p w:rsidR="00FC35CB" w:rsidRDefault="00FC35CB" w:rsidP="0065085F">
            <w:pPr>
              <w:pStyle w:val="NoSpacing"/>
              <w:jc w:val="center"/>
              <w:rPr>
                <w:rFonts w:cstheme="minorHAnsi"/>
              </w:rPr>
            </w:pPr>
            <w:r>
              <w:rPr>
                <w:rFonts w:cstheme="minorHAnsi"/>
              </w:rPr>
              <w:t>p</w:t>
            </w:r>
          </w:p>
        </w:tc>
      </w:tr>
      <w:tr w:rsidR="00065F9A" w:rsidTr="00065F9A">
        <w:tc>
          <w:tcPr>
            <w:tcW w:w="4176" w:type="dxa"/>
            <w:tcBorders>
              <w:top w:val="single" w:sz="4" w:space="0" w:color="auto"/>
            </w:tcBorders>
          </w:tcPr>
          <w:p w:rsidR="00FC35CB" w:rsidRDefault="00FC35CB" w:rsidP="0071027D">
            <w:pPr>
              <w:pStyle w:val="NoSpacing"/>
              <w:spacing w:before="240" w:after="240"/>
              <w:rPr>
                <w:rFonts w:cstheme="minorHAnsi"/>
              </w:rPr>
            </w:pPr>
            <w:r>
              <w:rPr>
                <w:rFonts w:cstheme="minorHAnsi"/>
              </w:rPr>
              <w:t>Race</w:t>
            </w:r>
          </w:p>
        </w:tc>
        <w:tc>
          <w:tcPr>
            <w:tcW w:w="1296" w:type="dxa"/>
            <w:tcBorders>
              <w:top w:val="single" w:sz="4" w:space="0" w:color="auto"/>
            </w:tcBorders>
          </w:tcPr>
          <w:p w:rsidR="00FC35CB" w:rsidRDefault="00FC35CB" w:rsidP="0065085F">
            <w:pPr>
              <w:pStyle w:val="NoSpacing"/>
              <w:tabs>
                <w:tab w:val="decimal" w:pos="576"/>
              </w:tabs>
              <w:spacing w:before="240" w:after="240"/>
              <w:rPr>
                <w:rFonts w:cstheme="minorHAnsi"/>
              </w:rPr>
            </w:pPr>
          </w:p>
        </w:tc>
        <w:tc>
          <w:tcPr>
            <w:tcW w:w="1296" w:type="dxa"/>
            <w:tcBorders>
              <w:top w:val="single" w:sz="4" w:space="0" w:color="auto"/>
            </w:tcBorders>
          </w:tcPr>
          <w:p w:rsidR="00FC35CB" w:rsidRDefault="00FC35CB" w:rsidP="0065085F">
            <w:pPr>
              <w:pStyle w:val="NoSpacing"/>
              <w:tabs>
                <w:tab w:val="decimal" w:pos="576"/>
              </w:tabs>
              <w:spacing w:before="240" w:after="240"/>
              <w:rPr>
                <w:rFonts w:cstheme="minorHAnsi"/>
              </w:rPr>
            </w:pPr>
          </w:p>
        </w:tc>
        <w:tc>
          <w:tcPr>
            <w:tcW w:w="1296" w:type="dxa"/>
            <w:tcBorders>
              <w:top w:val="single" w:sz="4" w:space="0" w:color="auto"/>
            </w:tcBorders>
          </w:tcPr>
          <w:p w:rsidR="00FC35CB" w:rsidRDefault="00FC35CB" w:rsidP="0065085F">
            <w:pPr>
              <w:pStyle w:val="NoSpacing"/>
              <w:tabs>
                <w:tab w:val="decimal" w:pos="576"/>
              </w:tabs>
              <w:spacing w:before="240" w:after="240"/>
              <w:rPr>
                <w:rFonts w:cstheme="minorHAnsi"/>
              </w:rPr>
            </w:pPr>
          </w:p>
        </w:tc>
        <w:tc>
          <w:tcPr>
            <w:tcW w:w="1296" w:type="dxa"/>
            <w:tcBorders>
              <w:top w:val="single" w:sz="4" w:space="0" w:color="auto"/>
            </w:tcBorders>
          </w:tcPr>
          <w:p w:rsidR="00FC35CB" w:rsidRDefault="00FC35CB" w:rsidP="0065085F">
            <w:pPr>
              <w:pStyle w:val="NoSpacing"/>
              <w:tabs>
                <w:tab w:val="decimal" w:pos="576"/>
              </w:tabs>
              <w:spacing w:before="240" w:after="240"/>
              <w:rPr>
                <w:rFonts w:cstheme="minorHAnsi"/>
              </w:rPr>
            </w:pPr>
            <w:r>
              <w:rPr>
                <w:rFonts w:cstheme="minorHAnsi"/>
              </w:rPr>
              <w:t>.018</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 xml:space="preserve">White </w:t>
            </w:r>
          </w:p>
        </w:tc>
        <w:tc>
          <w:tcPr>
            <w:tcW w:w="1296" w:type="dxa"/>
          </w:tcPr>
          <w:p w:rsidR="00FC35CB" w:rsidRDefault="00FC35CB" w:rsidP="0065085F">
            <w:pPr>
              <w:pStyle w:val="NoSpacing"/>
              <w:tabs>
                <w:tab w:val="decimal" w:pos="576"/>
              </w:tabs>
              <w:spacing w:after="240"/>
              <w:rPr>
                <w:rFonts w:cstheme="minorHAnsi"/>
              </w:rPr>
            </w:pPr>
            <w:r>
              <w:rPr>
                <w:rFonts w:cstheme="minorHAnsi"/>
              </w:rPr>
              <w:t>54%</w:t>
            </w:r>
          </w:p>
        </w:tc>
        <w:tc>
          <w:tcPr>
            <w:tcW w:w="1296" w:type="dxa"/>
          </w:tcPr>
          <w:p w:rsidR="00FC35CB" w:rsidRDefault="00FC35CB" w:rsidP="0065085F">
            <w:pPr>
              <w:pStyle w:val="NoSpacing"/>
              <w:tabs>
                <w:tab w:val="decimal" w:pos="576"/>
              </w:tabs>
              <w:spacing w:after="240"/>
              <w:rPr>
                <w:rFonts w:cstheme="minorHAnsi"/>
              </w:rPr>
            </w:pPr>
            <w:r>
              <w:rPr>
                <w:rFonts w:cstheme="minorHAnsi"/>
              </w:rPr>
              <w:t>50%</w:t>
            </w:r>
          </w:p>
        </w:tc>
        <w:tc>
          <w:tcPr>
            <w:tcW w:w="1296" w:type="dxa"/>
          </w:tcPr>
          <w:p w:rsidR="00FC35CB" w:rsidRDefault="00FC35CB" w:rsidP="0065085F">
            <w:pPr>
              <w:pStyle w:val="NoSpacing"/>
              <w:tabs>
                <w:tab w:val="decimal" w:pos="576"/>
              </w:tabs>
              <w:spacing w:after="240"/>
              <w:rPr>
                <w:rFonts w:cstheme="minorHAnsi"/>
              </w:rPr>
            </w:pPr>
            <w:r>
              <w:rPr>
                <w:rFonts w:cstheme="minorHAnsi"/>
              </w:rPr>
              <w:t>52%</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African-American</w:t>
            </w:r>
          </w:p>
        </w:tc>
        <w:tc>
          <w:tcPr>
            <w:tcW w:w="1296" w:type="dxa"/>
          </w:tcPr>
          <w:p w:rsidR="00FC35CB" w:rsidRDefault="00FC35CB" w:rsidP="0065085F">
            <w:pPr>
              <w:pStyle w:val="NoSpacing"/>
              <w:tabs>
                <w:tab w:val="decimal" w:pos="576"/>
              </w:tabs>
              <w:spacing w:after="240"/>
              <w:rPr>
                <w:rFonts w:cstheme="minorHAnsi"/>
              </w:rPr>
            </w:pPr>
            <w:r>
              <w:rPr>
                <w:rFonts w:cstheme="minorHAnsi"/>
              </w:rPr>
              <w:t>19%</w:t>
            </w:r>
          </w:p>
        </w:tc>
        <w:tc>
          <w:tcPr>
            <w:tcW w:w="1296" w:type="dxa"/>
          </w:tcPr>
          <w:p w:rsidR="00FC35CB" w:rsidRDefault="00FC35CB" w:rsidP="0065085F">
            <w:pPr>
              <w:pStyle w:val="NoSpacing"/>
              <w:tabs>
                <w:tab w:val="decimal" w:pos="576"/>
              </w:tabs>
              <w:spacing w:after="240"/>
              <w:rPr>
                <w:rFonts w:cstheme="minorHAnsi"/>
              </w:rPr>
            </w:pPr>
            <w:r>
              <w:rPr>
                <w:rFonts w:cstheme="minorHAnsi"/>
              </w:rPr>
              <w:t>27%</w:t>
            </w:r>
          </w:p>
        </w:tc>
        <w:tc>
          <w:tcPr>
            <w:tcW w:w="1296" w:type="dxa"/>
          </w:tcPr>
          <w:p w:rsidR="00FC35CB" w:rsidRDefault="00FC35CB" w:rsidP="0065085F">
            <w:pPr>
              <w:pStyle w:val="NoSpacing"/>
              <w:tabs>
                <w:tab w:val="decimal" w:pos="576"/>
              </w:tabs>
              <w:spacing w:after="240"/>
              <w:rPr>
                <w:rFonts w:cstheme="minorHAnsi"/>
              </w:rPr>
            </w:pPr>
            <w:r>
              <w:rPr>
                <w:rFonts w:cstheme="minorHAnsi"/>
              </w:rPr>
              <w:t>23%</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Hispanic</w:t>
            </w:r>
          </w:p>
        </w:tc>
        <w:tc>
          <w:tcPr>
            <w:tcW w:w="1296" w:type="dxa"/>
          </w:tcPr>
          <w:p w:rsidR="00FC35CB" w:rsidRDefault="00FC35CB" w:rsidP="0065085F">
            <w:pPr>
              <w:pStyle w:val="NoSpacing"/>
              <w:tabs>
                <w:tab w:val="decimal" w:pos="576"/>
              </w:tabs>
              <w:spacing w:after="240"/>
              <w:rPr>
                <w:rFonts w:cstheme="minorHAnsi"/>
              </w:rPr>
            </w:pPr>
            <w:r>
              <w:rPr>
                <w:rFonts w:cstheme="minorHAnsi"/>
              </w:rPr>
              <w:t>21%</w:t>
            </w:r>
          </w:p>
        </w:tc>
        <w:tc>
          <w:tcPr>
            <w:tcW w:w="1296" w:type="dxa"/>
          </w:tcPr>
          <w:p w:rsidR="00FC35CB" w:rsidRDefault="00FC35CB" w:rsidP="0065085F">
            <w:pPr>
              <w:pStyle w:val="NoSpacing"/>
              <w:tabs>
                <w:tab w:val="decimal" w:pos="576"/>
              </w:tabs>
              <w:spacing w:after="240"/>
              <w:rPr>
                <w:rFonts w:cstheme="minorHAnsi"/>
              </w:rPr>
            </w:pPr>
            <w:r>
              <w:rPr>
                <w:rFonts w:cstheme="minorHAnsi"/>
              </w:rPr>
              <w:t>19%</w:t>
            </w:r>
          </w:p>
        </w:tc>
        <w:tc>
          <w:tcPr>
            <w:tcW w:w="1296" w:type="dxa"/>
          </w:tcPr>
          <w:p w:rsidR="00FC35CB" w:rsidRDefault="00FC35CB" w:rsidP="0065085F">
            <w:pPr>
              <w:pStyle w:val="NoSpacing"/>
              <w:tabs>
                <w:tab w:val="decimal" w:pos="576"/>
              </w:tabs>
              <w:spacing w:after="240"/>
              <w:rPr>
                <w:rFonts w:cstheme="minorHAnsi"/>
              </w:rPr>
            </w:pPr>
            <w:r>
              <w:rPr>
                <w:rFonts w:cstheme="minorHAnsi"/>
              </w:rPr>
              <w:t>20%</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Other</w:t>
            </w:r>
          </w:p>
        </w:tc>
        <w:tc>
          <w:tcPr>
            <w:tcW w:w="1296" w:type="dxa"/>
          </w:tcPr>
          <w:p w:rsidR="00FC35CB" w:rsidRDefault="00FC35CB" w:rsidP="0065085F">
            <w:pPr>
              <w:pStyle w:val="NoSpacing"/>
              <w:tabs>
                <w:tab w:val="decimal" w:pos="576"/>
              </w:tabs>
              <w:spacing w:after="240"/>
              <w:rPr>
                <w:rFonts w:cstheme="minorHAnsi"/>
              </w:rPr>
            </w:pPr>
            <w:r>
              <w:rPr>
                <w:rFonts w:cstheme="minorHAnsi"/>
              </w:rPr>
              <w:t>6%</w:t>
            </w:r>
          </w:p>
        </w:tc>
        <w:tc>
          <w:tcPr>
            <w:tcW w:w="1296" w:type="dxa"/>
          </w:tcPr>
          <w:p w:rsidR="00FC35CB" w:rsidRDefault="00FC35CB" w:rsidP="0065085F">
            <w:pPr>
              <w:pStyle w:val="NoSpacing"/>
              <w:tabs>
                <w:tab w:val="decimal" w:pos="576"/>
              </w:tabs>
              <w:spacing w:after="240"/>
              <w:rPr>
                <w:rFonts w:cstheme="minorHAnsi"/>
              </w:rPr>
            </w:pPr>
            <w:r>
              <w:rPr>
                <w:rFonts w:cstheme="minorHAnsi"/>
              </w:rPr>
              <w:t>4%</w:t>
            </w:r>
          </w:p>
        </w:tc>
        <w:tc>
          <w:tcPr>
            <w:tcW w:w="1296" w:type="dxa"/>
          </w:tcPr>
          <w:p w:rsidR="00FC35CB" w:rsidRDefault="00FC35CB" w:rsidP="0065085F">
            <w:pPr>
              <w:pStyle w:val="NoSpacing"/>
              <w:tabs>
                <w:tab w:val="decimal" w:pos="576"/>
              </w:tabs>
              <w:spacing w:after="240"/>
              <w:rPr>
                <w:rFonts w:cstheme="minorHAnsi"/>
              </w:rPr>
            </w:pPr>
            <w:r>
              <w:rPr>
                <w:rFonts w:cstheme="minorHAnsi"/>
              </w:rPr>
              <w:t>5%</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71027D">
            <w:pPr>
              <w:pStyle w:val="NoSpacing"/>
              <w:spacing w:after="240"/>
              <w:rPr>
                <w:rFonts w:cstheme="minorHAnsi"/>
              </w:rPr>
            </w:pPr>
            <w:r>
              <w:rPr>
                <w:rFonts w:cstheme="minorHAnsi"/>
              </w:rPr>
              <w:t>Gender</w:t>
            </w: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r>
              <w:rPr>
                <w:rFonts w:cstheme="minorHAnsi"/>
              </w:rPr>
              <w:t>.370</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Male</w:t>
            </w:r>
          </w:p>
        </w:tc>
        <w:tc>
          <w:tcPr>
            <w:tcW w:w="1296" w:type="dxa"/>
          </w:tcPr>
          <w:p w:rsidR="00FC35CB" w:rsidRDefault="00FC35CB" w:rsidP="0065085F">
            <w:pPr>
              <w:pStyle w:val="NoSpacing"/>
              <w:tabs>
                <w:tab w:val="decimal" w:pos="576"/>
              </w:tabs>
              <w:spacing w:after="240"/>
              <w:rPr>
                <w:rFonts w:cstheme="minorHAnsi"/>
              </w:rPr>
            </w:pPr>
            <w:r>
              <w:rPr>
                <w:rFonts w:cstheme="minorHAnsi"/>
              </w:rPr>
              <w:t>57%</w:t>
            </w:r>
          </w:p>
        </w:tc>
        <w:tc>
          <w:tcPr>
            <w:tcW w:w="1296" w:type="dxa"/>
          </w:tcPr>
          <w:p w:rsidR="00FC35CB" w:rsidRDefault="00FC35CB" w:rsidP="0065085F">
            <w:pPr>
              <w:pStyle w:val="NoSpacing"/>
              <w:tabs>
                <w:tab w:val="decimal" w:pos="576"/>
              </w:tabs>
              <w:spacing w:after="240"/>
              <w:rPr>
                <w:rFonts w:cstheme="minorHAnsi"/>
              </w:rPr>
            </w:pPr>
            <w:r>
              <w:rPr>
                <w:rFonts w:cstheme="minorHAnsi"/>
              </w:rPr>
              <w:t>55%</w:t>
            </w:r>
          </w:p>
        </w:tc>
        <w:tc>
          <w:tcPr>
            <w:tcW w:w="1296" w:type="dxa"/>
          </w:tcPr>
          <w:p w:rsidR="00FC35CB" w:rsidRDefault="00FC35CB" w:rsidP="0065085F">
            <w:pPr>
              <w:pStyle w:val="NoSpacing"/>
              <w:tabs>
                <w:tab w:val="decimal" w:pos="576"/>
              </w:tabs>
              <w:spacing w:after="240"/>
              <w:rPr>
                <w:rFonts w:cstheme="minorHAnsi"/>
              </w:rPr>
            </w:pPr>
            <w:r>
              <w:rPr>
                <w:rFonts w:cstheme="minorHAnsi"/>
              </w:rPr>
              <w:t>56%</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Female</w:t>
            </w:r>
          </w:p>
        </w:tc>
        <w:tc>
          <w:tcPr>
            <w:tcW w:w="1296" w:type="dxa"/>
          </w:tcPr>
          <w:p w:rsidR="00FC35CB" w:rsidRDefault="00FC35CB" w:rsidP="0065085F">
            <w:pPr>
              <w:pStyle w:val="NoSpacing"/>
              <w:tabs>
                <w:tab w:val="decimal" w:pos="576"/>
              </w:tabs>
              <w:spacing w:after="240"/>
              <w:rPr>
                <w:rFonts w:cstheme="minorHAnsi"/>
              </w:rPr>
            </w:pPr>
            <w:r>
              <w:rPr>
                <w:rFonts w:cstheme="minorHAnsi"/>
              </w:rPr>
              <w:t>43%</w:t>
            </w:r>
          </w:p>
        </w:tc>
        <w:tc>
          <w:tcPr>
            <w:tcW w:w="1296" w:type="dxa"/>
          </w:tcPr>
          <w:p w:rsidR="00FC35CB" w:rsidRDefault="00FC35CB" w:rsidP="0065085F">
            <w:pPr>
              <w:pStyle w:val="NoSpacing"/>
              <w:tabs>
                <w:tab w:val="decimal" w:pos="576"/>
              </w:tabs>
              <w:spacing w:after="240"/>
              <w:rPr>
                <w:rFonts w:cstheme="minorHAnsi"/>
              </w:rPr>
            </w:pPr>
            <w:r>
              <w:rPr>
                <w:rFonts w:cstheme="minorHAnsi"/>
              </w:rPr>
              <w:t>45%</w:t>
            </w:r>
          </w:p>
        </w:tc>
        <w:tc>
          <w:tcPr>
            <w:tcW w:w="1296" w:type="dxa"/>
          </w:tcPr>
          <w:p w:rsidR="00FC35CB" w:rsidRDefault="00FC35CB" w:rsidP="0065085F">
            <w:pPr>
              <w:pStyle w:val="NoSpacing"/>
              <w:tabs>
                <w:tab w:val="decimal" w:pos="576"/>
              </w:tabs>
              <w:spacing w:after="240"/>
              <w:rPr>
                <w:rFonts w:cstheme="minorHAnsi"/>
              </w:rPr>
            </w:pPr>
            <w:r>
              <w:rPr>
                <w:rFonts w:cstheme="minorHAnsi"/>
              </w:rPr>
              <w:t>44%</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71027D">
            <w:pPr>
              <w:pStyle w:val="NoSpacing"/>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71027D">
            <w:pPr>
              <w:pStyle w:val="NoSpacing"/>
              <w:spacing w:after="240"/>
              <w:rPr>
                <w:rFonts w:cstheme="minorHAnsi"/>
              </w:rPr>
            </w:pPr>
            <w:r>
              <w:rPr>
                <w:rFonts w:cstheme="minorHAnsi"/>
              </w:rPr>
              <w:t>H.S. diploma, GED or higher</w:t>
            </w:r>
          </w:p>
        </w:tc>
        <w:tc>
          <w:tcPr>
            <w:tcW w:w="1296" w:type="dxa"/>
          </w:tcPr>
          <w:p w:rsidR="00FC35CB" w:rsidRDefault="00FC35CB" w:rsidP="0065085F">
            <w:pPr>
              <w:pStyle w:val="NoSpacing"/>
              <w:tabs>
                <w:tab w:val="decimal" w:pos="576"/>
              </w:tabs>
              <w:spacing w:after="240"/>
              <w:rPr>
                <w:rFonts w:cstheme="minorHAnsi"/>
              </w:rPr>
            </w:pPr>
            <w:r>
              <w:rPr>
                <w:rFonts w:cstheme="minorHAnsi"/>
              </w:rPr>
              <w:t>61%</w:t>
            </w:r>
          </w:p>
        </w:tc>
        <w:tc>
          <w:tcPr>
            <w:tcW w:w="1296" w:type="dxa"/>
          </w:tcPr>
          <w:p w:rsidR="00FC35CB" w:rsidRDefault="00FC35CB" w:rsidP="0065085F">
            <w:pPr>
              <w:pStyle w:val="NoSpacing"/>
              <w:tabs>
                <w:tab w:val="decimal" w:pos="576"/>
              </w:tabs>
              <w:spacing w:after="240"/>
              <w:rPr>
                <w:rFonts w:cstheme="minorHAnsi"/>
              </w:rPr>
            </w:pPr>
            <w:r>
              <w:rPr>
                <w:rFonts w:cstheme="minorHAnsi"/>
              </w:rPr>
              <w:t>61%</w:t>
            </w:r>
          </w:p>
        </w:tc>
        <w:tc>
          <w:tcPr>
            <w:tcW w:w="1296" w:type="dxa"/>
          </w:tcPr>
          <w:p w:rsidR="00FC35CB" w:rsidRDefault="00FC35CB" w:rsidP="0065085F">
            <w:pPr>
              <w:pStyle w:val="NoSpacing"/>
              <w:tabs>
                <w:tab w:val="decimal" w:pos="576"/>
              </w:tabs>
              <w:spacing w:after="240"/>
              <w:rPr>
                <w:rFonts w:cstheme="minorHAnsi"/>
              </w:rPr>
            </w:pPr>
            <w:r>
              <w:rPr>
                <w:rFonts w:cstheme="minorHAnsi"/>
              </w:rPr>
              <w:t>61%</w:t>
            </w:r>
          </w:p>
        </w:tc>
        <w:tc>
          <w:tcPr>
            <w:tcW w:w="1296" w:type="dxa"/>
          </w:tcPr>
          <w:p w:rsidR="00FC35CB" w:rsidRDefault="00FC35CB" w:rsidP="0065085F">
            <w:pPr>
              <w:pStyle w:val="NoSpacing"/>
              <w:tabs>
                <w:tab w:val="decimal" w:pos="576"/>
              </w:tabs>
              <w:spacing w:after="240"/>
              <w:rPr>
                <w:rFonts w:cstheme="minorHAnsi"/>
              </w:rPr>
            </w:pPr>
            <w:r>
              <w:rPr>
                <w:rFonts w:cstheme="minorHAnsi"/>
              </w:rPr>
              <w:t>.980</w:t>
            </w:r>
          </w:p>
        </w:tc>
      </w:tr>
      <w:tr w:rsidR="00065F9A" w:rsidTr="00065F9A">
        <w:tc>
          <w:tcPr>
            <w:tcW w:w="4176" w:type="dxa"/>
          </w:tcPr>
          <w:p w:rsidR="00FC35CB" w:rsidRDefault="00FC35CB" w:rsidP="0071027D">
            <w:pPr>
              <w:pStyle w:val="NoSpacing"/>
              <w:spacing w:after="240"/>
              <w:rPr>
                <w:rFonts w:cstheme="minorHAnsi"/>
              </w:rPr>
            </w:pPr>
            <w:r>
              <w:rPr>
                <w:rFonts w:cstheme="minorHAnsi"/>
              </w:rPr>
              <w:t>Mean Age (s.d.)</w:t>
            </w:r>
          </w:p>
        </w:tc>
        <w:tc>
          <w:tcPr>
            <w:tcW w:w="1296" w:type="dxa"/>
          </w:tcPr>
          <w:p w:rsidR="00FC35CB" w:rsidRDefault="00FC35CB" w:rsidP="0065085F">
            <w:pPr>
              <w:pStyle w:val="NoSpacing"/>
              <w:spacing w:after="240"/>
              <w:jc w:val="center"/>
              <w:rPr>
                <w:rFonts w:cstheme="minorHAnsi"/>
              </w:rPr>
            </w:pPr>
            <w:r>
              <w:rPr>
                <w:rFonts w:cstheme="minorHAnsi"/>
              </w:rPr>
              <w:t>34.3 (9.5)</w:t>
            </w:r>
          </w:p>
        </w:tc>
        <w:tc>
          <w:tcPr>
            <w:tcW w:w="1296" w:type="dxa"/>
          </w:tcPr>
          <w:p w:rsidR="00FC35CB" w:rsidRDefault="00FC35CB" w:rsidP="0065085F">
            <w:pPr>
              <w:pStyle w:val="NoSpacing"/>
              <w:spacing w:after="240"/>
              <w:jc w:val="center"/>
              <w:rPr>
                <w:rFonts w:cstheme="minorHAnsi"/>
              </w:rPr>
            </w:pPr>
            <w:r>
              <w:rPr>
                <w:rFonts w:cstheme="minorHAnsi"/>
              </w:rPr>
              <w:t>34.3 (9.5)</w:t>
            </w:r>
          </w:p>
        </w:tc>
        <w:tc>
          <w:tcPr>
            <w:tcW w:w="1296" w:type="dxa"/>
          </w:tcPr>
          <w:p w:rsidR="00FC35CB" w:rsidRDefault="00FC35CB" w:rsidP="0065085F">
            <w:pPr>
              <w:pStyle w:val="NoSpacing"/>
              <w:spacing w:after="240"/>
              <w:jc w:val="center"/>
              <w:rPr>
                <w:rFonts w:cstheme="minorHAnsi"/>
              </w:rPr>
            </w:pPr>
            <w:r>
              <w:rPr>
                <w:rFonts w:cstheme="minorHAnsi"/>
              </w:rPr>
              <w:t>34.3 (9.5)</w:t>
            </w:r>
          </w:p>
        </w:tc>
        <w:tc>
          <w:tcPr>
            <w:tcW w:w="1296" w:type="dxa"/>
          </w:tcPr>
          <w:p w:rsidR="00FC35CB" w:rsidRDefault="00FC35CB" w:rsidP="0065085F">
            <w:pPr>
              <w:pStyle w:val="NoSpacing"/>
              <w:tabs>
                <w:tab w:val="decimal" w:pos="576"/>
              </w:tabs>
              <w:spacing w:after="240"/>
              <w:rPr>
                <w:rFonts w:cstheme="minorHAnsi"/>
              </w:rPr>
            </w:pPr>
            <w:r>
              <w:rPr>
                <w:rFonts w:cstheme="minorHAnsi"/>
              </w:rPr>
              <w:t>.935</w:t>
            </w:r>
          </w:p>
        </w:tc>
      </w:tr>
      <w:tr w:rsidR="00065F9A" w:rsidTr="00065F9A">
        <w:tc>
          <w:tcPr>
            <w:tcW w:w="4176" w:type="dxa"/>
          </w:tcPr>
          <w:p w:rsidR="00FC35CB" w:rsidRDefault="00FC35CB" w:rsidP="0071027D">
            <w:pPr>
              <w:pStyle w:val="NoSpacing"/>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71027D">
            <w:pPr>
              <w:pStyle w:val="NoSpacing"/>
              <w:spacing w:after="240"/>
              <w:rPr>
                <w:rFonts w:cstheme="minorHAnsi"/>
              </w:rPr>
            </w:pPr>
            <w:r>
              <w:rPr>
                <w:rFonts w:cstheme="minorHAnsi"/>
              </w:rPr>
              <w:t>Marital Status</w:t>
            </w: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r>
              <w:rPr>
                <w:rFonts w:cstheme="minorHAnsi"/>
              </w:rPr>
              <w:t>.171</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Single</w:t>
            </w:r>
          </w:p>
        </w:tc>
        <w:tc>
          <w:tcPr>
            <w:tcW w:w="1296" w:type="dxa"/>
          </w:tcPr>
          <w:p w:rsidR="00FC35CB" w:rsidRDefault="00FC35CB" w:rsidP="0065085F">
            <w:pPr>
              <w:pStyle w:val="NoSpacing"/>
              <w:tabs>
                <w:tab w:val="decimal" w:pos="576"/>
              </w:tabs>
              <w:spacing w:after="240"/>
              <w:rPr>
                <w:rFonts w:cstheme="minorHAnsi"/>
              </w:rPr>
            </w:pPr>
            <w:r>
              <w:rPr>
                <w:rFonts w:cstheme="minorHAnsi"/>
              </w:rPr>
              <w:t>43%</w:t>
            </w:r>
          </w:p>
        </w:tc>
        <w:tc>
          <w:tcPr>
            <w:tcW w:w="1296" w:type="dxa"/>
          </w:tcPr>
          <w:p w:rsidR="00FC35CB" w:rsidRDefault="00FC35CB" w:rsidP="0065085F">
            <w:pPr>
              <w:pStyle w:val="NoSpacing"/>
              <w:tabs>
                <w:tab w:val="decimal" w:pos="576"/>
              </w:tabs>
              <w:spacing w:after="240"/>
              <w:rPr>
                <w:rFonts w:cstheme="minorHAnsi"/>
              </w:rPr>
            </w:pPr>
            <w:r>
              <w:rPr>
                <w:rFonts w:cstheme="minorHAnsi"/>
              </w:rPr>
              <w:t>48%</w:t>
            </w:r>
          </w:p>
        </w:tc>
        <w:tc>
          <w:tcPr>
            <w:tcW w:w="1296" w:type="dxa"/>
          </w:tcPr>
          <w:p w:rsidR="00FC35CB" w:rsidRDefault="00FC35CB" w:rsidP="0065085F">
            <w:pPr>
              <w:pStyle w:val="NoSpacing"/>
              <w:tabs>
                <w:tab w:val="decimal" w:pos="576"/>
              </w:tabs>
              <w:spacing w:after="240"/>
              <w:rPr>
                <w:rFonts w:cstheme="minorHAnsi"/>
              </w:rPr>
            </w:pPr>
            <w:r>
              <w:rPr>
                <w:rFonts w:cstheme="minorHAnsi"/>
              </w:rPr>
              <w:t>46%</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Married</w:t>
            </w:r>
          </w:p>
        </w:tc>
        <w:tc>
          <w:tcPr>
            <w:tcW w:w="1296" w:type="dxa"/>
          </w:tcPr>
          <w:p w:rsidR="00FC35CB" w:rsidRDefault="00FC35CB" w:rsidP="0065085F">
            <w:pPr>
              <w:pStyle w:val="NoSpacing"/>
              <w:tabs>
                <w:tab w:val="decimal" w:pos="576"/>
              </w:tabs>
              <w:spacing w:after="240"/>
              <w:rPr>
                <w:rFonts w:cstheme="minorHAnsi"/>
              </w:rPr>
            </w:pPr>
            <w:r>
              <w:rPr>
                <w:rFonts w:cstheme="minorHAnsi"/>
              </w:rPr>
              <w:t>23%</w:t>
            </w:r>
          </w:p>
        </w:tc>
        <w:tc>
          <w:tcPr>
            <w:tcW w:w="1296" w:type="dxa"/>
          </w:tcPr>
          <w:p w:rsidR="00FC35CB" w:rsidRDefault="00FC35CB" w:rsidP="0065085F">
            <w:pPr>
              <w:pStyle w:val="NoSpacing"/>
              <w:tabs>
                <w:tab w:val="decimal" w:pos="576"/>
              </w:tabs>
              <w:spacing w:after="240"/>
              <w:rPr>
                <w:rFonts w:cstheme="minorHAnsi"/>
              </w:rPr>
            </w:pPr>
            <w:r>
              <w:rPr>
                <w:rFonts w:cstheme="minorHAnsi"/>
              </w:rPr>
              <w:t>23%</w:t>
            </w:r>
          </w:p>
        </w:tc>
        <w:tc>
          <w:tcPr>
            <w:tcW w:w="1296" w:type="dxa"/>
          </w:tcPr>
          <w:p w:rsidR="00FC35CB" w:rsidRDefault="00FC35CB" w:rsidP="0065085F">
            <w:pPr>
              <w:pStyle w:val="NoSpacing"/>
              <w:tabs>
                <w:tab w:val="decimal" w:pos="576"/>
              </w:tabs>
              <w:spacing w:after="240"/>
              <w:rPr>
                <w:rFonts w:cstheme="minorHAnsi"/>
              </w:rPr>
            </w:pPr>
            <w:r>
              <w:rPr>
                <w:rFonts w:cstheme="minorHAnsi"/>
              </w:rPr>
              <w:t>23%</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Divorced/separated</w:t>
            </w:r>
          </w:p>
        </w:tc>
        <w:tc>
          <w:tcPr>
            <w:tcW w:w="1296" w:type="dxa"/>
          </w:tcPr>
          <w:p w:rsidR="00FC35CB" w:rsidRDefault="00FC35CB" w:rsidP="0065085F">
            <w:pPr>
              <w:pStyle w:val="NoSpacing"/>
              <w:tabs>
                <w:tab w:val="decimal" w:pos="576"/>
              </w:tabs>
              <w:spacing w:after="240"/>
              <w:rPr>
                <w:rFonts w:cstheme="minorHAnsi"/>
              </w:rPr>
            </w:pPr>
            <w:r>
              <w:rPr>
                <w:rFonts w:cstheme="minorHAnsi"/>
              </w:rPr>
              <w:t>34%</w:t>
            </w:r>
          </w:p>
        </w:tc>
        <w:tc>
          <w:tcPr>
            <w:tcW w:w="1296" w:type="dxa"/>
          </w:tcPr>
          <w:p w:rsidR="00FC35CB" w:rsidRDefault="00FC35CB" w:rsidP="0065085F">
            <w:pPr>
              <w:pStyle w:val="NoSpacing"/>
              <w:tabs>
                <w:tab w:val="decimal" w:pos="576"/>
              </w:tabs>
              <w:spacing w:after="240"/>
              <w:rPr>
                <w:rFonts w:cstheme="minorHAnsi"/>
              </w:rPr>
            </w:pPr>
            <w:r>
              <w:rPr>
                <w:rFonts w:cstheme="minorHAnsi"/>
              </w:rPr>
              <w:t>29%</w:t>
            </w:r>
          </w:p>
        </w:tc>
        <w:tc>
          <w:tcPr>
            <w:tcW w:w="1296" w:type="dxa"/>
          </w:tcPr>
          <w:p w:rsidR="00FC35CB" w:rsidRDefault="00FC35CB" w:rsidP="0065085F">
            <w:pPr>
              <w:pStyle w:val="NoSpacing"/>
              <w:tabs>
                <w:tab w:val="decimal" w:pos="576"/>
              </w:tabs>
              <w:spacing w:after="240"/>
              <w:rPr>
                <w:rFonts w:cstheme="minorHAnsi"/>
              </w:rPr>
            </w:pPr>
            <w:r>
              <w:rPr>
                <w:rFonts w:cstheme="minorHAnsi"/>
              </w:rPr>
              <w:t>31%</w:t>
            </w:r>
          </w:p>
        </w:tc>
        <w:tc>
          <w:tcPr>
            <w:tcW w:w="1296" w:type="dxa"/>
          </w:tcPr>
          <w:p w:rsidR="00FC35CB" w:rsidRDefault="00FC35CB" w:rsidP="0065085F">
            <w:pPr>
              <w:pStyle w:val="NoSpacing"/>
              <w:tabs>
                <w:tab w:val="decimal" w:pos="576"/>
              </w:tabs>
              <w:spacing w:after="240"/>
              <w:rPr>
                <w:rFonts w:cstheme="minorHAnsi"/>
              </w:rPr>
            </w:pPr>
          </w:p>
        </w:tc>
      </w:tr>
      <w:tr w:rsidR="00065F9A" w:rsidTr="00065F9A">
        <w:tc>
          <w:tcPr>
            <w:tcW w:w="4176" w:type="dxa"/>
          </w:tcPr>
          <w:p w:rsidR="00FC35CB" w:rsidRDefault="00FC35CB" w:rsidP="0071027D">
            <w:pPr>
              <w:pStyle w:val="NoSpacing"/>
              <w:spacing w:after="240"/>
              <w:ind w:left="36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c>
          <w:tcPr>
            <w:tcW w:w="1296" w:type="dxa"/>
          </w:tcPr>
          <w:p w:rsidR="00FC35CB" w:rsidRDefault="00FC35CB" w:rsidP="0065085F">
            <w:pPr>
              <w:pStyle w:val="NoSpacing"/>
              <w:tabs>
                <w:tab w:val="decimal" w:pos="576"/>
              </w:tabs>
              <w:spacing w:after="240"/>
              <w:rPr>
                <w:rFonts w:cstheme="minorHAnsi"/>
              </w:rPr>
            </w:pPr>
          </w:p>
        </w:tc>
      </w:tr>
      <w:tr w:rsidR="00065004" w:rsidTr="008036B6">
        <w:tc>
          <w:tcPr>
            <w:tcW w:w="6768" w:type="dxa"/>
            <w:gridSpan w:val="3"/>
          </w:tcPr>
          <w:p w:rsidR="00065004" w:rsidRDefault="00065004" w:rsidP="0065085F">
            <w:pPr>
              <w:pStyle w:val="NoSpacing"/>
              <w:tabs>
                <w:tab w:val="decimal" w:pos="576"/>
              </w:tabs>
              <w:spacing w:after="240"/>
              <w:rPr>
                <w:rFonts w:cstheme="minorHAnsi"/>
              </w:rPr>
            </w:pPr>
            <w:r>
              <w:rPr>
                <w:rFonts w:cstheme="minorHAnsi"/>
              </w:rPr>
              <w:t>In the 6 months before entering this program or being “locked up,” were you ever (% yes)--</w:t>
            </w:r>
          </w:p>
        </w:tc>
        <w:tc>
          <w:tcPr>
            <w:tcW w:w="1296" w:type="dxa"/>
          </w:tcPr>
          <w:p w:rsidR="00065004" w:rsidRDefault="00065004" w:rsidP="0065085F">
            <w:pPr>
              <w:pStyle w:val="NoSpacing"/>
              <w:tabs>
                <w:tab w:val="decimal" w:pos="576"/>
              </w:tabs>
              <w:spacing w:after="240"/>
              <w:rPr>
                <w:rFonts w:cstheme="minorHAnsi"/>
              </w:rPr>
            </w:pPr>
          </w:p>
        </w:tc>
        <w:tc>
          <w:tcPr>
            <w:tcW w:w="1296" w:type="dxa"/>
          </w:tcPr>
          <w:p w:rsidR="00065004" w:rsidRDefault="00065004" w:rsidP="0065085F">
            <w:pPr>
              <w:pStyle w:val="NoSpacing"/>
              <w:tabs>
                <w:tab w:val="decimal" w:pos="576"/>
              </w:tabs>
              <w:spacing w:after="240"/>
              <w:rPr>
                <w:rFonts w:cstheme="minorHAnsi"/>
              </w:rPr>
            </w:pP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employed full time?</w:t>
            </w:r>
          </w:p>
        </w:tc>
        <w:tc>
          <w:tcPr>
            <w:tcW w:w="1296" w:type="dxa"/>
          </w:tcPr>
          <w:p w:rsidR="00FC35CB" w:rsidRDefault="007D4D88" w:rsidP="0065085F">
            <w:pPr>
              <w:pStyle w:val="NoSpacing"/>
              <w:tabs>
                <w:tab w:val="decimal" w:pos="576"/>
              </w:tabs>
              <w:spacing w:after="240"/>
              <w:rPr>
                <w:rFonts w:cstheme="minorHAnsi"/>
              </w:rPr>
            </w:pPr>
            <w:r>
              <w:rPr>
                <w:rFonts w:cstheme="minorHAnsi"/>
              </w:rPr>
              <w:t>51%</w:t>
            </w:r>
          </w:p>
        </w:tc>
        <w:tc>
          <w:tcPr>
            <w:tcW w:w="1296" w:type="dxa"/>
          </w:tcPr>
          <w:p w:rsidR="00FC35CB" w:rsidRDefault="007D4D88" w:rsidP="0065085F">
            <w:pPr>
              <w:pStyle w:val="NoSpacing"/>
              <w:tabs>
                <w:tab w:val="decimal" w:pos="576"/>
              </w:tabs>
              <w:spacing w:after="240"/>
              <w:rPr>
                <w:rFonts w:cstheme="minorHAnsi"/>
              </w:rPr>
            </w:pPr>
            <w:r>
              <w:rPr>
                <w:rFonts w:cstheme="minorHAnsi"/>
              </w:rPr>
              <w:t>49%</w:t>
            </w:r>
          </w:p>
        </w:tc>
        <w:tc>
          <w:tcPr>
            <w:tcW w:w="1296" w:type="dxa"/>
          </w:tcPr>
          <w:p w:rsidR="00FC35CB" w:rsidRDefault="00FC35CB" w:rsidP="0065085F">
            <w:pPr>
              <w:pStyle w:val="NoSpacing"/>
              <w:tabs>
                <w:tab w:val="decimal" w:pos="576"/>
              </w:tabs>
              <w:spacing w:after="240"/>
              <w:rPr>
                <w:rFonts w:cstheme="minorHAnsi"/>
              </w:rPr>
            </w:pPr>
            <w:r>
              <w:rPr>
                <w:rFonts w:cstheme="minorHAnsi"/>
              </w:rPr>
              <w:t>50%</w:t>
            </w:r>
          </w:p>
        </w:tc>
        <w:tc>
          <w:tcPr>
            <w:tcW w:w="1296" w:type="dxa"/>
          </w:tcPr>
          <w:p w:rsidR="00FC35CB" w:rsidRDefault="007D4D88" w:rsidP="0065085F">
            <w:pPr>
              <w:pStyle w:val="NoSpacing"/>
              <w:tabs>
                <w:tab w:val="decimal" w:pos="576"/>
              </w:tabs>
              <w:spacing w:after="240"/>
              <w:rPr>
                <w:rFonts w:cstheme="minorHAnsi"/>
              </w:rPr>
            </w:pPr>
            <w:r>
              <w:rPr>
                <w:rFonts w:cstheme="minorHAnsi"/>
              </w:rPr>
              <w:t>.465</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unemployed and NOT looking for work?</w:t>
            </w:r>
          </w:p>
        </w:tc>
        <w:tc>
          <w:tcPr>
            <w:tcW w:w="1296" w:type="dxa"/>
          </w:tcPr>
          <w:p w:rsidR="00FC35CB" w:rsidRDefault="007D4D88" w:rsidP="0065085F">
            <w:pPr>
              <w:pStyle w:val="NoSpacing"/>
              <w:tabs>
                <w:tab w:val="decimal" w:pos="576"/>
              </w:tabs>
              <w:spacing w:after="240"/>
              <w:rPr>
                <w:rFonts w:cstheme="minorHAnsi"/>
              </w:rPr>
            </w:pPr>
            <w:r>
              <w:rPr>
                <w:rFonts w:cstheme="minorHAnsi"/>
              </w:rPr>
              <w:t>27%</w:t>
            </w:r>
          </w:p>
        </w:tc>
        <w:tc>
          <w:tcPr>
            <w:tcW w:w="1296" w:type="dxa"/>
          </w:tcPr>
          <w:p w:rsidR="00FC35CB" w:rsidRDefault="007D4D88" w:rsidP="0065085F">
            <w:pPr>
              <w:pStyle w:val="NoSpacing"/>
              <w:tabs>
                <w:tab w:val="decimal" w:pos="576"/>
              </w:tabs>
              <w:spacing w:after="240"/>
              <w:rPr>
                <w:rFonts w:cstheme="minorHAnsi"/>
              </w:rPr>
            </w:pPr>
            <w:r>
              <w:rPr>
                <w:rFonts w:cstheme="minorHAnsi"/>
              </w:rPr>
              <w:t>29%</w:t>
            </w:r>
          </w:p>
        </w:tc>
        <w:tc>
          <w:tcPr>
            <w:tcW w:w="1296" w:type="dxa"/>
          </w:tcPr>
          <w:p w:rsidR="00FC35CB" w:rsidRDefault="00FC35CB" w:rsidP="0065085F">
            <w:pPr>
              <w:pStyle w:val="NoSpacing"/>
              <w:tabs>
                <w:tab w:val="decimal" w:pos="576"/>
              </w:tabs>
              <w:spacing w:after="240"/>
              <w:rPr>
                <w:rFonts w:cstheme="minorHAnsi"/>
              </w:rPr>
            </w:pPr>
            <w:r>
              <w:rPr>
                <w:rFonts w:cstheme="minorHAnsi"/>
              </w:rPr>
              <w:t>28%</w:t>
            </w:r>
          </w:p>
        </w:tc>
        <w:tc>
          <w:tcPr>
            <w:tcW w:w="1296" w:type="dxa"/>
          </w:tcPr>
          <w:p w:rsidR="00FC35CB" w:rsidRDefault="007D4D88" w:rsidP="0065085F">
            <w:pPr>
              <w:pStyle w:val="NoSpacing"/>
              <w:tabs>
                <w:tab w:val="decimal" w:pos="576"/>
              </w:tabs>
              <w:spacing w:after="240"/>
              <w:rPr>
                <w:rFonts w:cstheme="minorHAnsi"/>
              </w:rPr>
            </w:pPr>
            <w:r>
              <w:rPr>
                <w:rFonts w:cstheme="minorHAnsi"/>
              </w:rPr>
              <w:t>.527</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receiving any public assistance?</w:t>
            </w:r>
          </w:p>
        </w:tc>
        <w:tc>
          <w:tcPr>
            <w:tcW w:w="1296" w:type="dxa"/>
          </w:tcPr>
          <w:p w:rsidR="00FC35CB" w:rsidRDefault="007D4D88" w:rsidP="0065085F">
            <w:pPr>
              <w:pStyle w:val="NoSpacing"/>
              <w:tabs>
                <w:tab w:val="decimal" w:pos="576"/>
              </w:tabs>
              <w:spacing w:after="240"/>
              <w:rPr>
                <w:rFonts w:cstheme="minorHAnsi"/>
              </w:rPr>
            </w:pPr>
            <w:r>
              <w:rPr>
                <w:rFonts w:cstheme="minorHAnsi"/>
              </w:rPr>
              <w:t>26%</w:t>
            </w:r>
          </w:p>
        </w:tc>
        <w:tc>
          <w:tcPr>
            <w:tcW w:w="1296" w:type="dxa"/>
          </w:tcPr>
          <w:p w:rsidR="00FC35CB" w:rsidRDefault="007D4D88" w:rsidP="0065085F">
            <w:pPr>
              <w:pStyle w:val="NoSpacing"/>
              <w:tabs>
                <w:tab w:val="decimal" w:pos="576"/>
              </w:tabs>
              <w:spacing w:after="240"/>
              <w:rPr>
                <w:rFonts w:cstheme="minorHAnsi"/>
              </w:rPr>
            </w:pPr>
            <w:r>
              <w:rPr>
                <w:rFonts w:cstheme="minorHAnsi"/>
              </w:rPr>
              <w:t>27%</w:t>
            </w:r>
          </w:p>
        </w:tc>
        <w:tc>
          <w:tcPr>
            <w:tcW w:w="1296" w:type="dxa"/>
          </w:tcPr>
          <w:p w:rsidR="00FC35CB" w:rsidRDefault="00FC35CB" w:rsidP="0065085F">
            <w:pPr>
              <w:pStyle w:val="NoSpacing"/>
              <w:tabs>
                <w:tab w:val="decimal" w:pos="576"/>
              </w:tabs>
              <w:spacing w:after="240"/>
              <w:rPr>
                <w:rFonts w:cstheme="minorHAnsi"/>
              </w:rPr>
            </w:pPr>
            <w:r>
              <w:rPr>
                <w:rFonts w:cstheme="minorHAnsi"/>
              </w:rPr>
              <w:t>26%</w:t>
            </w:r>
          </w:p>
        </w:tc>
        <w:tc>
          <w:tcPr>
            <w:tcW w:w="1296" w:type="dxa"/>
          </w:tcPr>
          <w:p w:rsidR="00FC35CB" w:rsidRDefault="007D4D88" w:rsidP="0065085F">
            <w:pPr>
              <w:pStyle w:val="NoSpacing"/>
              <w:tabs>
                <w:tab w:val="decimal" w:pos="576"/>
              </w:tabs>
              <w:spacing w:after="240"/>
              <w:rPr>
                <w:rFonts w:cstheme="minorHAnsi"/>
              </w:rPr>
            </w:pPr>
            <w:r>
              <w:rPr>
                <w:rFonts w:cstheme="minorHAnsi"/>
              </w:rPr>
              <w:t>.770</w:t>
            </w:r>
          </w:p>
        </w:tc>
      </w:tr>
    </w:tbl>
    <w:p w:rsidR="000315C1" w:rsidRDefault="000315C1">
      <w:r>
        <w:br w:type="page"/>
      </w:r>
    </w:p>
    <w:p w:rsidR="000315C1" w:rsidRDefault="000315C1" w:rsidP="000315C1">
      <w:pPr>
        <w:pStyle w:val="NoSpacing"/>
        <w:spacing w:line="480" w:lineRule="auto"/>
        <w:rPr>
          <w:rFonts w:cstheme="minorHAnsi"/>
        </w:rPr>
      </w:pPr>
      <w:r>
        <w:rPr>
          <w:rFonts w:cstheme="minorHAnsi"/>
        </w:rPr>
        <w:lastRenderedPageBreak/>
        <w:t>Table 3 (cont.)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gridCol w:w="1296"/>
        <w:gridCol w:w="1296"/>
        <w:gridCol w:w="1296"/>
        <w:gridCol w:w="1296"/>
      </w:tblGrid>
      <w:tr w:rsidR="000315C1" w:rsidTr="00CC1AF9">
        <w:tc>
          <w:tcPr>
            <w:tcW w:w="4176" w:type="dxa"/>
            <w:tcBorders>
              <w:top w:val="single" w:sz="4" w:space="0" w:color="auto"/>
              <w:bottom w:val="single" w:sz="4" w:space="0" w:color="auto"/>
            </w:tcBorders>
            <w:vAlign w:val="bottom"/>
          </w:tcPr>
          <w:p w:rsidR="000315C1" w:rsidRDefault="000315C1" w:rsidP="00CC1AF9">
            <w:pPr>
              <w:pStyle w:val="NoSpacing"/>
              <w:jc w:val="center"/>
              <w:rPr>
                <w:rFonts w:cstheme="minorHAnsi"/>
              </w:rPr>
            </w:pPr>
          </w:p>
        </w:tc>
        <w:tc>
          <w:tcPr>
            <w:tcW w:w="1296" w:type="dxa"/>
            <w:tcBorders>
              <w:top w:val="single" w:sz="4" w:space="0" w:color="auto"/>
              <w:bottom w:val="single" w:sz="4" w:space="0" w:color="auto"/>
            </w:tcBorders>
            <w:vAlign w:val="bottom"/>
          </w:tcPr>
          <w:p w:rsidR="000315C1" w:rsidRDefault="000315C1" w:rsidP="00CC1AF9">
            <w:pPr>
              <w:pStyle w:val="NoSpacing"/>
              <w:jc w:val="center"/>
              <w:rPr>
                <w:rFonts w:cstheme="minorHAnsi"/>
              </w:rPr>
            </w:pPr>
            <w:r>
              <w:rPr>
                <w:rFonts w:cstheme="minorHAnsi"/>
              </w:rPr>
              <w:t>TAU</w:t>
            </w:r>
          </w:p>
        </w:tc>
        <w:tc>
          <w:tcPr>
            <w:tcW w:w="1296" w:type="dxa"/>
            <w:tcBorders>
              <w:top w:val="single" w:sz="4" w:space="0" w:color="auto"/>
              <w:bottom w:val="single" w:sz="4" w:space="0" w:color="auto"/>
            </w:tcBorders>
          </w:tcPr>
          <w:p w:rsidR="000315C1" w:rsidRPr="00450DFF" w:rsidRDefault="000315C1" w:rsidP="00CC1AF9">
            <w:pPr>
              <w:pStyle w:val="NoSpacing"/>
              <w:jc w:val="center"/>
              <w:rPr>
                <w:rFonts w:cstheme="minorHAnsi"/>
                <w:i/>
              </w:rPr>
            </w:pPr>
            <w:r w:rsidRPr="00450DFF">
              <w:rPr>
                <w:rFonts w:cstheme="minorHAnsi"/>
                <w:i/>
              </w:rPr>
              <w:t>WaySafe</w:t>
            </w:r>
          </w:p>
        </w:tc>
        <w:tc>
          <w:tcPr>
            <w:tcW w:w="1296" w:type="dxa"/>
            <w:tcBorders>
              <w:top w:val="single" w:sz="4" w:space="0" w:color="auto"/>
              <w:bottom w:val="single" w:sz="4" w:space="0" w:color="auto"/>
            </w:tcBorders>
          </w:tcPr>
          <w:p w:rsidR="000315C1" w:rsidRDefault="000315C1" w:rsidP="00CC1AF9">
            <w:pPr>
              <w:pStyle w:val="NoSpacing"/>
              <w:jc w:val="center"/>
              <w:rPr>
                <w:rFonts w:cstheme="minorHAnsi"/>
              </w:rPr>
            </w:pPr>
            <w:r>
              <w:rPr>
                <w:rFonts w:cstheme="minorHAnsi"/>
              </w:rPr>
              <w:t>Total</w:t>
            </w:r>
          </w:p>
        </w:tc>
        <w:tc>
          <w:tcPr>
            <w:tcW w:w="1296" w:type="dxa"/>
            <w:tcBorders>
              <w:top w:val="single" w:sz="4" w:space="0" w:color="auto"/>
              <w:bottom w:val="single" w:sz="4" w:space="0" w:color="auto"/>
            </w:tcBorders>
          </w:tcPr>
          <w:p w:rsidR="000315C1" w:rsidRDefault="000315C1" w:rsidP="00CC1AF9">
            <w:pPr>
              <w:pStyle w:val="NoSpacing"/>
              <w:jc w:val="center"/>
              <w:rPr>
                <w:rFonts w:cstheme="minorHAnsi"/>
              </w:rPr>
            </w:pPr>
            <w:r>
              <w:rPr>
                <w:rFonts w:cstheme="minorHAnsi"/>
              </w:rPr>
              <w:t>p</w:t>
            </w:r>
          </w:p>
        </w:tc>
      </w:tr>
      <w:tr w:rsidR="00065F9A" w:rsidTr="00065F9A">
        <w:tc>
          <w:tcPr>
            <w:tcW w:w="4176" w:type="dxa"/>
          </w:tcPr>
          <w:p w:rsidR="00FC35CB" w:rsidRDefault="00FC35CB" w:rsidP="000315C1">
            <w:pPr>
              <w:pStyle w:val="NoSpacing"/>
              <w:spacing w:before="240" w:after="240"/>
              <w:ind w:left="187"/>
              <w:rPr>
                <w:rFonts w:cstheme="minorHAnsi"/>
              </w:rPr>
            </w:pPr>
            <w:r>
              <w:rPr>
                <w:rFonts w:cstheme="minorHAnsi"/>
              </w:rPr>
              <w:t>on parole or probation?</w:t>
            </w:r>
          </w:p>
        </w:tc>
        <w:tc>
          <w:tcPr>
            <w:tcW w:w="1296" w:type="dxa"/>
          </w:tcPr>
          <w:p w:rsidR="00FC35CB" w:rsidRDefault="007D4D88" w:rsidP="000315C1">
            <w:pPr>
              <w:pStyle w:val="NoSpacing"/>
              <w:tabs>
                <w:tab w:val="decimal" w:pos="576"/>
              </w:tabs>
              <w:spacing w:before="240" w:after="240"/>
              <w:rPr>
                <w:rFonts w:cstheme="minorHAnsi"/>
              </w:rPr>
            </w:pPr>
            <w:r>
              <w:rPr>
                <w:rFonts w:cstheme="minorHAnsi"/>
              </w:rPr>
              <w:t>68%</w:t>
            </w:r>
          </w:p>
        </w:tc>
        <w:tc>
          <w:tcPr>
            <w:tcW w:w="1296" w:type="dxa"/>
          </w:tcPr>
          <w:p w:rsidR="00FC35CB" w:rsidRDefault="007D4D88" w:rsidP="000315C1">
            <w:pPr>
              <w:pStyle w:val="NoSpacing"/>
              <w:tabs>
                <w:tab w:val="decimal" w:pos="576"/>
              </w:tabs>
              <w:spacing w:before="240" w:after="240"/>
              <w:rPr>
                <w:rFonts w:cstheme="minorHAnsi"/>
              </w:rPr>
            </w:pPr>
            <w:r>
              <w:rPr>
                <w:rFonts w:cstheme="minorHAnsi"/>
              </w:rPr>
              <w:t>69%</w:t>
            </w:r>
          </w:p>
        </w:tc>
        <w:tc>
          <w:tcPr>
            <w:tcW w:w="1296" w:type="dxa"/>
          </w:tcPr>
          <w:p w:rsidR="00FC35CB" w:rsidRDefault="00FC35CB" w:rsidP="000315C1">
            <w:pPr>
              <w:pStyle w:val="NoSpacing"/>
              <w:tabs>
                <w:tab w:val="decimal" w:pos="576"/>
              </w:tabs>
              <w:spacing w:before="240" w:after="240"/>
              <w:rPr>
                <w:rFonts w:cstheme="minorHAnsi"/>
              </w:rPr>
            </w:pPr>
            <w:r>
              <w:rPr>
                <w:rFonts w:cstheme="minorHAnsi"/>
              </w:rPr>
              <w:t>69%</w:t>
            </w:r>
          </w:p>
        </w:tc>
        <w:tc>
          <w:tcPr>
            <w:tcW w:w="1296" w:type="dxa"/>
          </w:tcPr>
          <w:p w:rsidR="00FC35CB" w:rsidRDefault="007D4D88" w:rsidP="000315C1">
            <w:pPr>
              <w:pStyle w:val="NoSpacing"/>
              <w:tabs>
                <w:tab w:val="decimal" w:pos="576"/>
              </w:tabs>
              <w:spacing w:before="240" w:after="240"/>
              <w:rPr>
                <w:rFonts w:cstheme="minorHAnsi"/>
              </w:rPr>
            </w:pPr>
            <w:r>
              <w:rPr>
                <w:rFonts w:cstheme="minorHAnsi"/>
              </w:rPr>
              <w:t>.880</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treated in an emergency room?</w:t>
            </w:r>
          </w:p>
        </w:tc>
        <w:tc>
          <w:tcPr>
            <w:tcW w:w="1296" w:type="dxa"/>
          </w:tcPr>
          <w:p w:rsidR="00FC35CB" w:rsidRDefault="007D4D88" w:rsidP="0065085F">
            <w:pPr>
              <w:pStyle w:val="NoSpacing"/>
              <w:tabs>
                <w:tab w:val="decimal" w:pos="576"/>
              </w:tabs>
              <w:spacing w:after="240"/>
              <w:rPr>
                <w:rFonts w:cstheme="minorHAnsi"/>
              </w:rPr>
            </w:pPr>
            <w:r>
              <w:rPr>
                <w:rFonts w:cstheme="minorHAnsi"/>
              </w:rPr>
              <w:t>25%</w:t>
            </w:r>
          </w:p>
        </w:tc>
        <w:tc>
          <w:tcPr>
            <w:tcW w:w="1296" w:type="dxa"/>
          </w:tcPr>
          <w:p w:rsidR="00FC35CB" w:rsidRDefault="007D4D88" w:rsidP="0065085F">
            <w:pPr>
              <w:pStyle w:val="NoSpacing"/>
              <w:tabs>
                <w:tab w:val="decimal" w:pos="576"/>
              </w:tabs>
              <w:spacing w:after="240"/>
              <w:rPr>
                <w:rFonts w:cstheme="minorHAnsi"/>
              </w:rPr>
            </w:pPr>
            <w:r>
              <w:rPr>
                <w:rFonts w:cstheme="minorHAnsi"/>
              </w:rPr>
              <w:t>26%</w:t>
            </w:r>
          </w:p>
        </w:tc>
        <w:tc>
          <w:tcPr>
            <w:tcW w:w="1296" w:type="dxa"/>
          </w:tcPr>
          <w:p w:rsidR="00FC35CB" w:rsidRDefault="00FC35CB" w:rsidP="0065085F">
            <w:pPr>
              <w:pStyle w:val="NoSpacing"/>
              <w:tabs>
                <w:tab w:val="decimal" w:pos="576"/>
              </w:tabs>
              <w:spacing w:after="240"/>
              <w:rPr>
                <w:rFonts w:cstheme="minorHAnsi"/>
              </w:rPr>
            </w:pPr>
            <w:r>
              <w:rPr>
                <w:rFonts w:cstheme="minorHAnsi"/>
              </w:rPr>
              <w:t>25%</w:t>
            </w:r>
          </w:p>
        </w:tc>
        <w:tc>
          <w:tcPr>
            <w:tcW w:w="1296" w:type="dxa"/>
          </w:tcPr>
          <w:p w:rsidR="00FC35CB" w:rsidRDefault="007D4D88" w:rsidP="0065085F">
            <w:pPr>
              <w:pStyle w:val="NoSpacing"/>
              <w:tabs>
                <w:tab w:val="decimal" w:pos="576"/>
              </w:tabs>
              <w:spacing w:after="240"/>
              <w:rPr>
                <w:rFonts w:cstheme="minorHAnsi"/>
              </w:rPr>
            </w:pPr>
            <w:r>
              <w:rPr>
                <w:rFonts w:cstheme="minorHAnsi"/>
              </w:rPr>
              <w:t>.749</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treated for a mental health problem?</w:t>
            </w:r>
          </w:p>
        </w:tc>
        <w:tc>
          <w:tcPr>
            <w:tcW w:w="1296" w:type="dxa"/>
          </w:tcPr>
          <w:p w:rsidR="00FC35CB" w:rsidRDefault="007D4D88" w:rsidP="0065085F">
            <w:pPr>
              <w:pStyle w:val="NoSpacing"/>
              <w:tabs>
                <w:tab w:val="decimal" w:pos="576"/>
              </w:tabs>
              <w:spacing w:after="240"/>
              <w:rPr>
                <w:rFonts w:cstheme="minorHAnsi"/>
              </w:rPr>
            </w:pPr>
            <w:r>
              <w:rPr>
                <w:rFonts w:cstheme="minorHAnsi"/>
              </w:rPr>
              <w:t>18%</w:t>
            </w:r>
          </w:p>
        </w:tc>
        <w:tc>
          <w:tcPr>
            <w:tcW w:w="1296" w:type="dxa"/>
          </w:tcPr>
          <w:p w:rsidR="00FC35CB" w:rsidRDefault="007D4D88" w:rsidP="0065085F">
            <w:pPr>
              <w:pStyle w:val="NoSpacing"/>
              <w:tabs>
                <w:tab w:val="decimal" w:pos="576"/>
              </w:tabs>
              <w:spacing w:after="240"/>
              <w:rPr>
                <w:rFonts w:cstheme="minorHAnsi"/>
              </w:rPr>
            </w:pPr>
            <w:r>
              <w:rPr>
                <w:rFonts w:cstheme="minorHAnsi"/>
              </w:rPr>
              <w:t>22%</w:t>
            </w:r>
          </w:p>
        </w:tc>
        <w:tc>
          <w:tcPr>
            <w:tcW w:w="1296" w:type="dxa"/>
          </w:tcPr>
          <w:p w:rsidR="00FC35CB" w:rsidRDefault="00FC35CB" w:rsidP="0065085F">
            <w:pPr>
              <w:pStyle w:val="NoSpacing"/>
              <w:tabs>
                <w:tab w:val="decimal" w:pos="576"/>
              </w:tabs>
              <w:spacing w:after="240"/>
              <w:rPr>
                <w:rFonts w:cstheme="minorHAnsi"/>
              </w:rPr>
            </w:pPr>
            <w:r>
              <w:rPr>
                <w:rFonts w:cstheme="minorHAnsi"/>
              </w:rPr>
              <w:t>20%</w:t>
            </w:r>
          </w:p>
        </w:tc>
        <w:tc>
          <w:tcPr>
            <w:tcW w:w="1296" w:type="dxa"/>
          </w:tcPr>
          <w:p w:rsidR="00FC35CB" w:rsidRDefault="007D4D88" w:rsidP="0065085F">
            <w:pPr>
              <w:pStyle w:val="NoSpacing"/>
              <w:tabs>
                <w:tab w:val="decimal" w:pos="576"/>
              </w:tabs>
              <w:spacing w:after="240"/>
              <w:rPr>
                <w:rFonts w:cstheme="minorHAnsi"/>
              </w:rPr>
            </w:pPr>
            <w:r>
              <w:rPr>
                <w:rFonts w:cstheme="minorHAnsi"/>
              </w:rPr>
              <w:t>.167</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treated for an alcohol use problem?</w:t>
            </w:r>
          </w:p>
        </w:tc>
        <w:tc>
          <w:tcPr>
            <w:tcW w:w="1296" w:type="dxa"/>
          </w:tcPr>
          <w:p w:rsidR="00FC35CB" w:rsidRDefault="007D4D88" w:rsidP="0065085F">
            <w:pPr>
              <w:pStyle w:val="NoSpacing"/>
              <w:tabs>
                <w:tab w:val="decimal" w:pos="576"/>
              </w:tabs>
              <w:spacing w:after="240"/>
              <w:rPr>
                <w:rFonts w:cstheme="minorHAnsi"/>
              </w:rPr>
            </w:pPr>
            <w:r>
              <w:rPr>
                <w:rFonts w:cstheme="minorHAnsi"/>
              </w:rPr>
              <w:t>10%</w:t>
            </w:r>
          </w:p>
        </w:tc>
        <w:tc>
          <w:tcPr>
            <w:tcW w:w="1296" w:type="dxa"/>
          </w:tcPr>
          <w:p w:rsidR="00FC35CB" w:rsidRDefault="007D4D88" w:rsidP="0065085F">
            <w:pPr>
              <w:pStyle w:val="NoSpacing"/>
              <w:tabs>
                <w:tab w:val="decimal" w:pos="576"/>
              </w:tabs>
              <w:spacing w:after="240"/>
              <w:rPr>
                <w:rFonts w:cstheme="minorHAnsi"/>
              </w:rPr>
            </w:pPr>
            <w:r>
              <w:rPr>
                <w:rFonts w:cstheme="minorHAnsi"/>
              </w:rPr>
              <w:t>11%</w:t>
            </w:r>
          </w:p>
        </w:tc>
        <w:tc>
          <w:tcPr>
            <w:tcW w:w="1296" w:type="dxa"/>
          </w:tcPr>
          <w:p w:rsidR="00FC35CB" w:rsidRDefault="00FC35CB" w:rsidP="0065085F">
            <w:pPr>
              <w:pStyle w:val="NoSpacing"/>
              <w:tabs>
                <w:tab w:val="decimal" w:pos="576"/>
              </w:tabs>
              <w:spacing w:after="240"/>
              <w:rPr>
                <w:rFonts w:cstheme="minorHAnsi"/>
              </w:rPr>
            </w:pPr>
            <w:r>
              <w:rPr>
                <w:rFonts w:cstheme="minorHAnsi"/>
              </w:rPr>
              <w:t>10%</w:t>
            </w:r>
          </w:p>
        </w:tc>
        <w:tc>
          <w:tcPr>
            <w:tcW w:w="1296" w:type="dxa"/>
          </w:tcPr>
          <w:p w:rsidR="00FC35CB" w:rsidRDefault="007D4D88" w:rsidP="0065085F">
            <w:pPr>
              <w:pStyle w:val="NoSpacing"/>
              <w:tabs>
                <w:tab w:val="decimal" w:pos="576"/>
              </w:tabs>
              <w:spacing w:after="240"/>
              <w:rPr>
                <w:rFonts w:cstheme="minorHAnsi"/>
              </w:rPr>
            </w:pPr>
            <w:r>
              <w:rPr>
                <w:rFonts w:cstheme="minorHAnsi"/>
              </w:rPr>
              <w:t>.651</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treated for illegal drug use?</w:t>
            </w:r>
          </w:p>
        </w:tc>
        <w:tc>
          <w:tcPr>
            <w:tcW w:w="1296" w:type="dxa"/>
          </w:tcPr>
          <w:p w:rsidR="00FC35CB" w:rsidRDefault="007D4D88" w:rsidP="0065085F">
            <w:pPr>
              <w:pStyle w:val="NoSpacing"/>
              <w:tabs>
                <w:tab w:val="decimal" w:pos="576"/>
              </w:tabs>
              <w:spacing w:after="240"/>
              <w:rPr>
                <w:rFonts w:cstheme="minorHAnsi"/>
              </w:rPr>
            </w:pPr>
            <w:r>
              <w:rPr>
                <w:rFonts w:cstheme="minorHAnsi"/>
              </w:rPr>
              <w:t>22%</w:t>
            </w:r>
          </w:p>
        </w:tc>
        <w:tc>
          <w:tcPr>
            <w:tcW w:w="1296" w:type="dxa"/>
          </w:tcPr>
          <w:p w:rsidR="00FC35CB" w:rsidRDefault="007D4D88" w:rsidP="0065085F">
            <w:pPr>
              <w:pStyle w:val="NoSpacing"/>
              <w:tabs>
                <w:tab w:val="decimal" w:pos="576"/>
              </w:tabs>
              <w:spacing w:after="240"/>
              <w:rPr>
                <w:rFonts w:cstheme="minorHAnsi"/>
              </w:rPr>
            </w:pPr>
            <w:r>
              <w:rPr>
                <w:rFonts w:cstheme="minorHAnsi"/>
              </w:rPr>
              <w:t>23%</w:t>
            </w:r>
          </w:p>
        </w:tc>
        <w:tc>
          <w:tcPr>
            <w:tcW w:w="1296" w:type="dxa"/>
          </w:tcPr>
          <w:p w:rsidR="00FC35CB" w:rsidRDefault="00FC35CB" w:rsidP="0065085F">
            <w:pPr>
              <w:pStyle w:val="NoSpacing"/>
              <w:tabs>
                <w:tab w:val="decimal" w:pos="576"/>
              </w:tabs>
              <w:spacing w:after="240"/>
              <w:rPr>
                <w:rFonts w:cstheme="minorHAnsi"/>
              </w:rPr>
            </w:pPr>
            <w:r>
              <w:rPr>
                <w:rFonts w:cstheme="minorHAnsi"/>
              </w:rPr>
              <w:t>22%</w:t>
            </w:r>
          </w:p>
        </w:tc>
        <w:tc>
          <w:tcPr>
            <w:tcW w:w="1296" w:type="dxa"/>
          </w:tcPr>
          <w:p w:rsidR="00FC35CB" w:rsidRDefault="007D4D88" w:rsidP="0065085F">
            <w:pPr>
              <w:pStyle w:val="NoSpacing"/>
              <w:tabs>
                <w:tab w:val="decimal" w:pos="576"/>
              </w:tabs>
              <w:spacing w:after="240"/>
              <w:rPr>
                <w:rFonts w:cstheme="minorHAnsi"/>
              </w:rPr>
            </w:pPr>
            <w:r>
              <w:rPr>
                <w:rFonts w:cstheme="minorHAnsi"/>
              </w:rPr>
              <w:t>.667</w:t>
            </w:r>
          </w:p>
        </w:tc>
      </w:tr>
      <w:tr w:rsidR="00065F9A" w:rsidTr="00065F9A">
        <w:tc>
          <w:tcPr>
            <w:tcW w:w="4176" w:type="dxa"/>
          </w:tcPr>
          <w:p w:rsidR="00FC35CB" w:rsidRDefault="00FC35CB" w:rsidP="00065F9A">
            <w:pPr>
              <w:pStyle w:val="NoSpacing"/>
              <w:spacing w:after="240"/>
              <w:ind w:left="180"/>
              <w:rPr>
                <w:rFonts w:cstheme="minorHAnsi"/>
              </w:rPr>
            </w:pPr>
            <w:r>
              <w:rPr>
                <w:rFonts w:cstheme="minorHAnsi"/>
              </w:rPr>
              <w:t>arrested?</w:t>
            </w:r>
          </w:p>
        </w:tc>
        <w:tc>
          <w:tcPr>
            <w:tcW w:w="1296" w:type="dxa"/>
          </w:tcPr>
          <w:p w:rsidR="00FC35CB" w:rsidRDefault="007D4D88" w:rsidP="0065085F">
            <w:pPr>
              <w:pStyle w:val="NoSpacing"/>
              <w:tabs>
                <w:tab w:val="decimal" w:pos="576"/>
              </w:tabs>
              <w:spacing w:after="240"/>
              <w:rPr>
                <w:rFonts w:cstheme="minorHAnsi"/>
              </w:rPr>
            </w:pPr>
            <w:r>
              <w:rPr>
                <w:rFonts w:cstheme="minorHAnsi"/>
              </w:rPr>
              <w:t>63%</w:t>
            </w:r>
          </w:p>
        </w:tc>
        <w:tc>
          <w:tcPr>
            <w:tcW w:w="1296" w:type="dxa"/>
          </w:tcPr>
          <w:p w:rsidR="00FC35CB" w:rsidRDefault="007D4D88" w:rsidP="0065085F">
            <w:pPr>
              <w:pStyle w:val="NoSpacing"/>
              <w:tabs>
                <w:tab w:val="decimal" w:pos="576"/>
              </w:tabs>
              <w:spacing w:after="240"/>
              <w:rPr>
                <w:rFonts w:cstheme="minorHAnsi"/>
              </w:rPr>
            </w:pPr>
            <w:r>
              <w:rPr>
                <w:rFonts w:cstheme="minorHAnsi"/>
              </w:rPr>
              <w:t>61%</w:t>
            </w:r>
          </w:p>
        </w:tc>
        <w:tc>
          <w:tcPr>
            <w:tcW w:w="1296" w:type="dxa"/>
          </w:tcPr>
          <w:p w:rsidR="00FC35CB" w:rsidRDefault="00FC35CB" w:rsidP="0065085F">
            <w:pPr>
              <w:pStyle w:val="NoSpacing"/>
              <w:tabs>
                <w:tab w:val="decimal" w:pos="576"/>
              </w:tabs>
              <w:spacing w:after="240"/>
              <w:rPr>
                <w:rFonts w:cstheme="minorHAnsi"/>
              </w:rPr>
            </w:pPr>
            <w:r>
              <w:rPr>
                <w:rFonts w:cstheme="minorHAnsi"/>
              </w:rPr>
              <w:t>62%</w:t>
            </w:r>
          </w:p>
        </w:tc>
        <w:tc>
          <w:tcPr>
            <w:tcW w:w="1296" w:type="dxa"/>
          </w:tcPr>
          <w:p w:rsidR="00FC35CB" w:rsidRDefault="007D4D88" w:rsidP="0065085F">
            <w:pPr>
              <w:pStyle w:val="NoSpacing"/>
              <w:tabs>
                <w:tab w:val="decimal" w:pos="576"/>
              </w:tabs>
              <w:spacing w:after="240"/>
              <w:rPr>
                <w:rFonts w:cstheme="minorHAnsi"/>
              </w:rPr>
            </w:pPr>
            <w:r>
              <w:rPr>
                <w:rFonts w:cstheme="minorHAnsi"/>
              </w:rPr>
              <w:t>.529</w:t>
            </w:r>
          </w:p>
        </w:tc>
      </w:tr>
      <w:tr w:rsidR="00065F9A" w:rsidTr="00065F9A">
        <w:tc>
          <w:tcPr>
            <w:tcW w:w="4176" w:type="dxa"/>
            <w:tcBorders>
              <w:bottom w:val="single" w:sz="4" w:space="0" w:color="auto"/>
            </w:tcBorders>
          </w:tcPr>
          <w:p w:rsidR="00FC35CB" w:rsidRDefault="00FC35CB" w:rsidP="00065F9A">
            <w:pPr>
              <w:pStyle w:val="NoSpacing"/>
              <w:spacing w:after="240"/>
              <w:ind w:left="180"/>
              <w:rPr>
                <w:rFonts w:cstheme="minorHAnsi"/>
              </w:rPr>
            </w:pPr>
            <w:r>
              <w:rPr>
                <w:rFonts w:cstheme="minorHAnsi"/>
              </w:rPr>
              <w:t>in jail or prison?</w:t>
            </w:r>
          </w:p>
        </w:tc>
        <w:tc>
          <w:tcPr>
            <w:tcW w:w="1296" w:type="dxa"/>
            <w:tcBorders>
              <w:bottom w:val="single" w:sz="4" w:space="0" w:color="auto"/>
            </w:tcBorders>
          </w:tcPr>
          <w:p w:rsidR="00FC35CB" w:rsidRDefault="007D4D88" w:rsidP="0065085F">
            <w:pPr>
              <w:pStyle w:val="NoSpacing"/>
              <w:tabs>
                <w:tab w:val="decimal" w:pos="576"/>
              </w:tabs>
              <w:spacing w:after="240"/>
              <w:rPr>
                <w:rFonts w:cstheme="minorHAnsi"/>
              </w:rPr>
            </w:pPr>
            <w:r>
              <w:rPr>
                <w:rFonts w:cstheme="minorHAnsi"/>
              </w:rPr>
              <w:t>66%</w:t>
            </w:r>
          </w:p>
        </w:tc>
        <w:tc>
          <w:tcPr>
            <w:tcW w:w="1296" w:type="dxa"/>
            <w:tcBorders>
              <w:bottom w:val="single" w:sz="4" w:space="0" w:color="auto"/>
            </w:tcBorders>
          </w:tcPr>
          <w:p w:rsidR="00FC35CB" w:rsidRDefault="007D4D88" w:rsidP="0065085F">
            <w:pPr>
              <w:pStyle w:val="NoSpacing"/>
              <w:tabs>
                <w:tab w:val="decimal" w:pos="576"/>
              </w:tabs>
              <w:spacing w:after="240"/>
              <w:rPr>
                <w:rFonts w:cstheme="minorHAnsi"/>
              </w:rPr>
            </w:pPr>
            <w:r>
              <w:rPr>
                <w:rFonts w:cstheme="minorHAnsi"/>
              </w:rPr>
              <w:t>69%</w:t>
            </w:r>
          </w:p>
        </w:tc>
        <w:tc>
          <w:tcPr>
            <w:tcW w:w="1296" w:type="dxa"/>
            <w:tcBorders>
              <w:bottom w:val="single" w:sz="4" w:space="0" w:color="auto"/>
            </w:tcBorders>
          </w:tcPr>
          <w:p w:rsidR="00FC35CB" w:rsidRDefault="00FC35CB" w:rsidP="0065085F">
            <w:pPr>
              <w:pStyle w:val="NoSpacing"/>
              <w:tabs>
                <w:tab w:val="decimal" w:pos="576"/>
              </w:tabs>
              <w:spacing w:after="240"/>
              <w:rPr>
                <w:rFonts w:cstheme="minorHAnsi"/>
              </w:rPr>
            </w:pPr>
            <w:r>
              <w:rPr>
                <w:rFonts w:cstheme="minorHAnsi"/>
              </w:rPr>
              <w:t>67%</w:t>
            </w:r>
          </w:p>
        </w:tc>
        <w:tc>
          <w:tcPr>
            <w:tcW w:w="1296" w:type="dxa"/>
            <w:tcBorders>
              <w:bottom w:val="single" w:sz="4" w:space="0" w:color="auto"/>
            </w:tcBorders>
          </w:tcPr>
          <w:p w:rsidR="00FC35CB" w:rsidRDefault="007D4D88" w:rsidP="0065085F">
            <w:pPr>
              <w:pStyle w:val="NoSpacing"/>
              <w:tabs>
                <w:tab w:val="decimal" w:pos="576"/>
              </w:tabs>
              <w:spacing w:after="240"/>
              <w:rPr>
                <w:rFonts w:cstheme="minorHAnsi"/>
              </w:rPr>
            </w:pPr>
            <w:r>
              <w:rPr>
                <w:rFonts w:cstheme="minorHAnsi"/>
              </w:rPr>
              <w:t>.334</w:t>
            </w:r>
          </w:p>
        </w:tc>
      </w:tr>
    </w:tbl>
    <w:p w:rsidR="00FC35CB" w:rsidRDefault="00FC35CB" w:rsidP="00FC35CB">
      <w:pPr>
        <w:rPr>
          <w:rFonts w:cstheme="minorHAnsi"/>
        </w:rPr>
      </w:pPr>
      <w:r>
        <w:rPr>
          <w:rFonts w:cstheme="minorHAnsi"/>
        </w:rPr>
        <w:br w:type="page"/>
      </w:r>
    </w:p>
    <w:p w:rsidR="00267A38" w:rsidRDefault="0058642E" w:rsidP="00267A38">
      <w:pPr>
        <w:pStyle w:val="NoSpacing"/>
        <w:spacing w:line="480" w:lineRule="auto"/>
        <w:rPr>
          <w:rFonts w:cstheme="minorHAnsi"/>
        </w:rPr>
      </w:pPr>
      <w:r>
        <w:rPr>
          <w:rFonts w:cstheme="minorHAnsi"/>
        </w:rPr>
        <w:lastRenderedPageBreak/>
        <w:t xml:space="preserve">Table </w:t>
      </w:r>
      <w:r w:rsidR="00083AEC">
        <w:rPr>
          <w:rFonts w:cstheme="minorHAnsi"/>
        </w:rPr>
        <w:t>4</w:t>
      </w:r>
      <w:r>
        <w:rPr>
          <w:rFonts w:cstheme="minorHAnsi"/>
        </w:rPr>
        <w:t xml:space="preserve">:  Pre- test Scores for </w:t>
      </w:r>
      <w:r w:rsidRPr="00C1173E">
        <w:rPr>
          <w:rFonts w:cstheme="minorHAnsi"/>
          <w:i/>
        </w:rPr>
        <w:t>WaySafe</w:t>
      </w:r>
      <w:r>
        <w:rPr>
          <w:rFonts w:cstheme="minorHAnsi"/>
        </w:rPr>
        <w:t xml:space="preserve"> measures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1007"/>
        <w:gridCol w:w="1008"/>
        <w:gridCol w:w="1008"/>
        <w:gridCol w:w="1008"/>
        <w:gridCol w:w="1008"/>
        <w:gridCol w:w="1010"/>
        <w:gridCol w:w="1010"/>
      </w:tblGrid>
      <w:tr w:rsidR="00C1173E" w:rsidTr="00C1173E">
        <w:tc>
          <w:tcPr>
            <w:tcW w:w="2304" w:type="dxa"/>
            <w:tcBorders>
              <w:top w:val="single" w:sz="4" w:space="0" w:color="auto"/>
            </w:tcBorders>
          </w:tcPr>
          <w:p w:rsidR="00C1173E" w:rsidRDefault="00C1173E" w:rsidP="00C1173E">
            <w:pPr>
              <w:pStyle w:val="NoSpacing"/>
              <w:rPr>
                <w:rFonts w:cstheme="minorHAnsi"/>
              </w:rPr>
            </w:pPr>
          </w:p>
        </w:tc>
        <w:tc>
          <w:tcPr>
            <w:tcW w:w="2016" w:type="dxa"/>
            <w:gridSpan w:val="2"/>
            <w:tcBorders>
              <w:top w:val="single" w:sz="4" w:space="0" w:color="auto"/>
            </w:tcBorders>
          </w:tcPr>
          <w:p w:rsidR="00C1173E" w:rsidRDefault="00C1173E" w:rsidP="00C1173E">
            <w:pPr>
              <w:pStyle w:val="NoSpacing"/>
              <w:jc w:val="center"/>
              <w:rPr>
                <w:rFonts w:cstheme="minorHAnsi"/>
              </w:rPr>
            </w:pPr>
            <w:r>
              <w:rPr>
                <w:rFonts w:cstheme="minorHAnsi"/>
              </w:rPr>
              <w:t>TAU</w:t>
            </w:r>
            <w:r w:rsidR="008A3862">
              <w:rPr>
                <w:rFonts w:cstheme="minorHAnsi"/>
              </w:rPr>
              <w:t xml:space="preserve"> (N = 604)</w:t>
            </w:r>
          </w:p>
        </w:tc>
        <w:tc>
          <w:tcPr>
            <w:tcW w:w="2016" w:type="dxa"/>
            <w:gridSpan w:val="2"/>
            <w:tcBorders>
              <w:top w:val="single" w:sz="4" w:space="0" w:color="auto"/>
            </w:tcBorders>
          </w:tcPr>
          <w:p w:rsidR="00C1173E" w:rsidRPr="00320F00" w:rsidRDefault="00C1173E" w:rsidP="00C1173E">
            <w:pPr>
              <w:pStyle w:val="NoSpacing"/>
              <w:jc w:val="center"/>
              <w:rPr>
                <w:rFonts w:cstheme="minorHAnsi"/>
                <w:i/>
              </w:rPr>
            </w:pPr>
            <w:r w:rsidRPr="00320F00">
              <w:rPr>
                <w:rFonts w:cstheme="minorHAnsi"/>
                <w:i/>
              </w:rPr>
              <w:t>WaySafe</w:t>
            </w:r>
            <w:r w:rsidR="008A3862">
              <w:rPr>
                <w:rFonts w:cstheme="minorHAnsi"/>
                <w:i/>
              </w:rPr>
              <w:t xml:space="preserve"> </w:t>
            </w:r>
            <w:r w:rsidR="008A3862" w:rsidRPr="008A3862">
              <w:rPr>
                <w:rFonts w:cstheme="minorHAnsi"/>
              </w:rPr>
              <w:t>(N = 653)</w:t>
            </w:r>
          </w:p>
        </w:tc>
        <w:tc>
          <w:tcPr>
            <w:tcW w:w="1008" w:type="dxa"/>
            <w:tcBorders>
              <w:top w:val="single" w:sz="4" w:space="0" w:color="auto"/>
            </w:tcBorders>
          </w:tcPr>
          <w:p w:rsidR="00C1173E" w:rsidRDefault="00C1173E" w:rsidP="00C1173E">
            <w:pPr>
              <w:pStyle w:val="NoSpacing"/>
              <w:rPr>
                <w:rFonts w:cstheme="minorHAnsi"/>
              </w:rPr>
            </w:pPr>
          </w:p>
        </w:tc>
        <w:tc>
          <w:tcPr>
            <w:tcW w:w="1008" w:type="dxa"/>
            <w:tcBorders>
              <w:top w:val="single" w:sz="4" w:space="0" w:color="auto"/>
            </w:tcBorders>
          </w:tcPr>
          <w:p w:rsidR="00C1173E" w:rsidRDefault="00C1173E" w:rsidP="00C1173E">
            <w:pPr>
              <w:pStyle w:val="NoSpacing"/>
              <w:rPr>
                <w:rFonts w:cstheme="minorHAnsi"/>
              </w:rPr>
            </w:pPr>
          </w:p>
        </w:tc>
        <w:tc>
          <w:tcPr>
            <w:tcW w:w="1008" w:type="dxa"/>
            <w:tcBorders>
              <w:top w:val="single" w:sz="4" w:space="0" w:color="auto"/>
            </w:tcBorders>
          </w:tcPr>
          <w:p w:rsidR="00C1173E" w:rsidRDefault="000251EC" w:rsidP="00C1173E">
            <w:pPr>
              <w:pStyle w:val="NoSpacing"/>
              <w:rPr>
                <w:rFonts w:cstheme="minorHAnsi"/>
              </w:rPr>
            </w:pPr>
            <w:r>
              <w:rPr>
                <w:rFonts w:cstheme="minorHAnsi"/>
              </w:rPr>
              <w:t>Cohen’s</w:t>
            </w:r>
          </w:p>
        </w:tc>
      </w:tr>
      <w:tr w:rsidR="00CD7EF0" w:rsidTr="00C1173E">
        <w:tc>
          <w:tcPr>
            <w:tcW w:w="2304" w:type="dxa"/>
            <w:tcBorders>
              <w:bottom w:val="single" w:sz="4" w:space="0" w:color="auto"/>
            </w:tcBorders>
          </w:tcPr>
          <w:p w:rsidR="00CD7EF0" w:rsidRDefault="00CD7EF0" w:rsidP="00C1173E">
            <w:pPr>
              <w:pStyle w:val="NoSpacing"/>
              <w:jc w:val="center"/>
              <w:rPr>
                <w:rFonts w:cstheme="minorHAnsi"/>
              </w:rPr>
            </w:pP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M</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s.d.</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M</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s.d.</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t</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prob</w:t>
            </w:r>
          </w:p>
        </w:tc>
        <w:tc>
          <w:tcPr>
            <w:tcW w:w="1008" w:type="dxa"/>
            <w:tcBorders>
              <w:bottom w:val="single" w:sz="4" w:space="0" w:color="auto"/>
            </w:tcBorders>
          </w:tcPr>
          <w:p w:rsidR="00CD7EF0" w:rsidRDefault="00CD7EF0" w:rsidP="000251EC">
            <w:pPr>
              <w:pStyle w:val="NoSpacing"/>
              <w:jc w:val="center"/>
              <w:rPr>
                <w:rFonts w:cstheme="minorHAnsi"/>
              </w:rPr>
            </w:pPr>
            <w:r>
              <w:rPr>
                <w:rFonts w:cstheme="minorHAnsi"/>
              </w:rPr>
              <w:t>d</w:t>
            </w:r>
          </w:p>
        </w:tc>
      </w:tr>
      <w:tr w:rsidR="00450DFF" w:rsidTr="00C1173E">
        <w:tc>
          <w:tcPr>
            <w:tcW w:w="2304" w:type="dxa"/>
            <w:tcBorders>
              <w:top w:val="single" w:sz="4" w:space="0" w:color="auto"/>
            </w:tcBorders>
          </w:tcPr>
          <w:p w:rsidR="00450DFF" w:rsidRDefault="00450DFF" w:rsidP="00C1173E">
            <w:pPr>
              <w:pStyle w:val="NoSpacing"/>
              <w:spacing w:before="240" w:after="240"/>
              <w:rPr>
                <w:rFonts w:cstheme="minorHAnsi"/>
              </w:rPr>
            </w:pPr>
            <w:r>
              <w:rPr>
                <w:rFonts w:cstheme="minorHAnsi"/>
              </w:rPr>
              <w:t>HIV Knowledge Confidence</w:t>
            </w:r>
          </w:p>
        </w:tc>
        <w:tc>
          <w:tcPr>
            <w:tcW w:w="1008" w:type="dxa"/>
            <w:tcBorders>
              <w:top w:val="single" w:sz="4" w:space="0" w:color="auto"/>
            </w:tcBorders>
            <w:vAlign w:val="bottom"/>
          </w:tcPr>
          <w:p w:rsidR="00450DFF" w:rsidRDefault="00450DFF" w:rsidP="00C1173E">
            <w:pPr>
              <w:tabs>
                <w:tab w:val="decimal" w:pos="396"/>
              </w:tabs>
              <w:spacing w:before="240" w:after="240"/>
              <w:rPr>
                <w:rFonts w:ascii="Calibri" w:hAnsi="Calibri" w:cs="Calibri"/>
                <w:color w:val="000000"/>
              </w:rPr>
            </w:pPr>
            <w:r>
              <w:rPr>
                <w:rFonts w:ascii="Calibri" w:hAnsi="Calibri" w:cs="Calibri"/>
                <w:color w:val="000000"/>
              </w:rPr>
              <w:t>39.8</w:t>
            </w:r>
          </w:p>
        </w:tc>
        <w:tc>
          <w:tcPr>
            <w:tcW w:w="1008" w:type="dxa"/>
            <w:tcBorders>
              <w:top w:val="single" w:sz="4" w:space="0" w:color="auto"/>
            </w:tcBorders>
            <w:vAlign w:val="bottom"/>
          </w:tcPr>
          <w:p w:rsidR="00450DFF" w:rsidRDefault="00450DFF" w:rsidP="00C1173E">
            <w:pPr>
              <w:tabs>
                <w:tab w:val="decimal" w:pos="396"/>
              </w:tabs>
              <w:spacing w:before="240" w:after="240"/>
              <w:rPr>
                <w:rFonts w:ascii="Calibri" w:hAnsi="Calibri" w:cs="Calibri"/>
                <w:color w:val="000000"/>
              </w:rPr>
            </w:pPr>
            <w:r>
              <w:rPr>
                <w:rFonts w:ascii="Calibri" w:hAnsi="Calibri" w:cs="Calibri"/>
                <w:color w:val="000000"/>
              </w:rPr>
              <w:t>6.2</w:t>
            </w:r>
          </w:p>
        </w:tc>
        <w:tc>
          <w:tcPr>
            <w:tcW w:w="1008" w:type="dxa"/>
            <w:tcBorders>
              <w:top w:val="single" w:sz="4" w:space="0" w:color="auto"/>
            </w:tcBorders>
            <w:vAlign w:val="bottom"/>
          </w:tcPr>
          <w:p w:rsidR="00450DFF" w:rsidRDefault="00450DFF" w:rsidP="00C1173E">
            <w:pPr>
              <w:tabs>
                <w:tab w:val="decimal" w:pos="396"/>
              </w:tabs>
              <w:spacing w:before="240" w:after="240"/>
              <w:rPr>
                <w:rFonts w:ascii="Calibri" w:hAnsi="Calibri" w:cs="Calibri"/>
                <w:color w:val="000000"/>
              </w:rPr>
            </w:pPr>
            <w:r>
              <w:rPr>
                <w:rFonts w:ascii="Calibri" w:hAnsi="Calibri" w:cs="Calibri"/>
                <w:color w:val="000000"/>
              </w:rPr>
              <w:t>39.5</w:t>
            </w:r>
          </w:p>
        </w:tc>
        <w:tc>
          <w:tcPr>
            <w:tcW w:w="1008" w:type="dxa"/>
            <w:tcBorders>
              <w:top w:val="single" w:sz="4" w:space="0" w:color="auto"/>
            </w:tcBorders>
            <w:vAlign w:val="bottom"/>
          </w:tcPr>
          <w:p w:rsidR="00450DFF" w:rsidRDefault="00450DFF" w:rsidP="00C1173E">
            <w:pPr>
              <w:tabs>
                <w:tab w:val="decimal" w:pos="396"/>
              </w:tabs>
              <w:spacing w:before="240" w:after="240"/>
              <w:rPr>
                <w:rFonts w:ascii="Calibri" w:hAnsi="Calibri" w:cs="Calibri"/>
                <w:color w:val="000000"/>
              </w:rPr>
            </w:pPr>
            <w:r>
              <w:rPr>
                <w:rFonts w:ascii="Calibri" w:hAnsi="Calibri" w:cs="Calibri"/>
                <w:color w:val="000000"/>
              </w:rPr>
              <w:t>6.2</w:t>
            </w:r>
          </w:p>
        </w:tc>
        <w:tc>
          <w:tcPr>
            <w:tcW w:w="1008" w:type="dxa"/>
            <w:tcBorders>
              <w:top w:val="single" w:sz="4" w:space="0" w:color="auto"/>
            </w:tcBorders>
            <w:vAlign w:val="bottom"/>
          </w:tcPr>
          <w:p w:rsidR="00450DFF" w:rsidRDefault="00450DFF" w:rsidP="00C1173E">
            <w:pPr>
              <w:tabs>
                <w:tab w:val="decimal" w:pos="396"/>
              </w:tabs>
              <w:spacing w:before="240" w:after="240"/>
              <w:rPr>
                <w:rFonts w:ascii="Calibri" w:hAnsi="Calibri" w:cs="Calibri"/>
                <w:color w:val="000000"/>
              </w:rPr>
            </w:pPr>
            <w:r>
              <w:rPr>
                <w:rFonts w:ascii="Calibri" w:hAnsi="Calibri" w:cs="Calibri"/>
                <w:color w:val="000000"/>
              </w:rPr>
              <w:t>1.01</w:t>
            </w:r>
          </w:p>
        </w:tc>
        <w:tc>
          <w:tcPr>
            <w:tcW w:w="1008" w:type="dxa"/>
            <w:tcBorders>
              <w:top w:val="single" w:sz="4" w:space="0" w:color="auto"/>
            </w:tcBorders>
            <w:vAlign w:val="bottom"/>
          </w:tcPr>
          <w:p w:rsidR="00450DFF" w:rsidRDefault="00450DFF" w:rsidP="00C1173E">
            <w:pPr>
              <w:tabs>
                <w:tab w:val="decimal" w:pos="403"/>
              </w:tabs>
              <w:spacing w:before="240" w:after="240"/>
              <w:rPr>
                <w:rFonts w:ascii="Calibri" w:hAnsi="Calibri" w:cs="Calibri"/>
                <w:color w:val="000000"/>
              </w:rPr>
            </w:pPr>
            <w:r>
              <w:rPr>
                <w:rFonts w:ascii="Calibri" w:hAnsi="Calibri" w:cs="Calibri"/>
                <w:color w:val="000000"/>
              </w:rPr>
              <w:t>0.311</w:t>
            </w:r>
          </w:p>
        </w:tc>
        <w:tc>
          <w:tcPr>
            <w:tcW w:w="1008" w:type="dxa"/>
            <w:tcBorders>
              <w:top w:val="single" w:sz="4" w:space="0" w:color="auto"/>
            </w:tcBorders>
            <w:vAlign w:val="bottom"/>
          </w:tcPr>
          <w:p w:rsidR="00450DFF" w:rsidRDefault="00450DFF" w:rsidP="00C1173E">
            <w:pPr>
              <w:tabs>
                <w:tab w:val="decimal" w:pos="403"/>
              </w:tabs>
              <w:spacing w:before="240" w:after="240"/>
              <w:rPr>
                <w:rFonts w:ascii="Calibri" w:hAnsi="Calibri" w:cs="Calibri"/>
                <w:color w:val="000000"/>
              </w:rPr>
            </w:pPr>
            <w:r>
              <w:rPr>
                <w:rFonts w:ascii="Calibri" w:hAnsi="Calibri" w:cs="Calibri"/>
                <w:color w:val="000000"/>
              </w:rPr>
              <w:t>-0.023</w:t>
            </w:r>
          </w:p>
        </w:tc>
      </w:tr>
      <w:tr w:rsidR="00450DFF" w:rsidTr="00C1173E">
        <w:tc>
          <w:tcPr>
            <w:tcW w:w="2304" w:type="dxa"/>
          </w:tcPr>
          <w:p w:rsidR="00450DFF" w:rsidRDefault="00450DFF" w:rsidP="00C1173E">
            <w:pPr>
              <w:pStyle w:val="NoSpacing"/>
              <w:spacing w:after="240"/>
              <w:rPr>
                <w:rFonts w:cstheme="minorHAnsi"/>
              </w:rPr>
            </w:pPr>
            <w:r>
              <w:rPr>
                <w:rFonts w:cstheme="minorHAnsi"/>
              </w:rPr>
              <w:t>Avoiding Risky Sex</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38.5</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7.3</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38.9</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6.9</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-0.84</w:t>
            </w:r>
          </w:p>
        </w:tc>
        <w:tc>
          <w:tcPr>
            <w:tcW w:w="1008" w:type="dxa"/>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0.399</w:t>
            </w:r>
          </w:p>
        </w:tc>
        <w:tc>
          <w:tcPr>
            <w:tcW w:w="1008" w:type="dxa"/>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0.014</w:t>
            </w:r>
          </w:p>
        </w:tc>
      </w:tr>
      <w:tr w:rsidR="00450DFF" w:rsidTr="00C1173E">
        <w:tc>
          <w:tcPr>
            <w:tcW w:w="2304" w:type="dxa"/>
          </w:tcPr>
          <w:p w:rsidR="00450DFF" w:rsidRDefault="00450DFF" w:rsidP="00C1173E">
            <w:pPr>
              <w:pStyle w:val="NoSpacing"/>
              <w:spacing w:after="240"/>
              <w:rPr>
                <w:rFonts w:cstheme="minorHAnsi"/>
              </w:rPr>
            </w:pPr>
            <w:r>
              <w:rPr>
                <w:rFonts w:cstheme="minorHAnsi"/>
              </w:rPr>
              <w:t>Avoiding Risky Drug Use</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43.1</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5.5</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43.0</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5.4</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0.14</w:t>
            </w:r>
          </w:p>
        </w:tc>
        <w:tc>
          <w:tcPr>
            <w:tcW w:w="1008" w:type="dxa"/>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0.891</w:t>
            </w:r>
          </w:p>
        </w:tc>
        <w:tc>
          <w:tcPr>
            <w:tcW w:w="1008" w:type="dxa"/>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-0.005</w:t>
            </w:r>
          </w:p>
        </w:tc>
      </w:tr>
      <w:tr w:rsidR="00450DFF" w:rsidTr="00C1173E">
        <w:tc>
          <w:tcPr>
            <w:tcW w:w="2304" w:type="dxa"/>
          </w:tcPr>
          <w:p w:rsidR="00450DFF" w:rsidRDefault="00450DFF" w:rsidP="00C1173E">
            <w:pPr>
              <w:pStyle w:val="NoSpacing"/>
              <w:spacing w:after="240"/>
              <w:rPr>
                <w:rFonts w:cstheme="minorHAnsi"/>
              </w:rPr>
            </w:pPr>
            <w:r>
              <w:rPr>
                <w:rFonts w:cstheme="minorHAnsi"/>
              </w:rPr>
              <w:t>HIV Services and Testing</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42.3</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5.6</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42.7</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5.7</w:t>
            </w:r>
          </w:p>
        </w:tc>
        <w:tc>
          <w:tcPr>
            <w:tcW w:w="1008" w:type="dxa"/>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-0.99</w:t>
            </w:r>
          </w:p>
        </w:tc>
        <w:tc>
          <w:tcPr>
            <w:tcW w:w="1008" w:type="dxa"/>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0.323</w:t>
            </w:r>
          </w:p>
        </w:tc>
        <w:tc>
          <w:tcPr>
            <w:tcW w:w="1008" w:type="dxa"/>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0.016</w:t>
            </w:r>
          </w:p>
        </w:tc>
      </w:tr>
      <w:tr w:rsidR="00450DFF" w:rsidTr="00C1173E">
        <w:tc>
          <w:tcPr>
            <w:tcW w:w="2304" w:type="dxa"/>
            <w:tcBorders>
              <w:bottom w:val="single" w:sz="4" w:space="0" w:color="auto"/>
            </w:tcBorders>
          </w:tcPr>
          <w:p w:rsidR="00450DFF" w:rsidRDefault="00450DFF" w:rsidP="00C1173E">
            <w:pPr>
              <w:pStyle w:val="NoSpacing"/>
              <w:spacing w:after="240"/>
              <w:rPr>
                <w:rFonts w:cstheme="minorHAnsi"/>
              </w:rPr>
            </w:pPr>
            <w:r>
              <w:rPr>
                <w:rFonts w:cstheme="minorHAnsi"/>
              </w:rPr>
              <w:t>Risk Reduction Skills</w:t>
            </w:r>
          </w:p>
        </w:tc>
        <w:tc>
          <w:tcPr>
            <w:tcW w:w="1008" w:type="dxa"/>
            <w:tcBorders>
              <w:bottom w:val="single" w:sz="4" w:space="0" w:color="auto"/>
            </w:tcBorders>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41.7</w:t>
            </w:r>
          </w:p>
        </w:tc>
        <w:tc>
          <w:tcPr>
            <w:tcW w:w="1008" w:type="dxa"/>
            <w:tcBorders>
              <w:bottom w:val="single" w:sz="4" w:space="0" w:color="auto"/>
            </w:tcBorders>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4.9</w:t>
            </w:r>
          </w:p>
        </w:tc>
        <w:tc>
          <w:tcPr>
            <w:tcW w:w="1008" w:type="dxa"/>
            <w:tcBorders>
              <w:bottom w:val="single" w:sz="4" w:space="0" w:color="auto"/>
            </w:tcBorders>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42.0</w:t>
            </w:r>
          </w:p>
        </w:tc>
        <w:tc>
          <w:tcPr>
            <w:tcW w:w="1008" w:type="dxa"/>
            <w:tcBorders>
              <w:bottom w:val="single" w:sz="4" w:space="0" w:color="auto"/>
            </w:tcBorders>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4.8</w:t>
            </w:r>
          </w:p>
        </w:tc>
        <w:tc>
          <w:tcPr>
            <w:tcW w:w="1008" w:type="dxa"/>
            <w:tcBorders>
              <w:bottom w:val="single" w:sz="4" w:space="0" w:color="auto"/>
            </w:tcBorders>
            <w:vAlign w:val="bottom"/>
          </w:tcPr>
          <w:p w:rsidR="00450DFF" w:rsidRDefault="00450DFF" w:rsidP="00C1173E">
            <w:pPr>
              <w:tabs>
                <w:tab w:val="decimal" w:pos="396"/>
              </w:tabs>
              <w:spacing w:after="240"/>
              <w:rPr>
                <w:rFonts w:ascii="Calibri" w:hAnsi="Calibri" w:cs="Calibri"/>
                <w:color w:val="000000"/>
              </w:rPr>
            </w:pPr>
            <w:r>
              <w:rPr>
                <w:rFonts w:ascii="Calibri" w:hAnsi="Calibri" w:cs="Calibri"/>
                <w:color w:val="000000"/>
              </w:rPr>
              <w:t>-1.00</w:t>
            </w:r>
          </w:p>
        </w:tc>
        <w:tc>
          <w:tcPr>
            <w:tcW w:w="1008" w:type="dxa"/>
            <w:tcBorders>
              <w:bottom w:val="single" w:sz="4" w:space="0" w:color="auto"/>
            </w:tcBorders>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0.317</w:t>
            </w:r>
          </w:p>
        </w:tc>
        <w:tc>
          <w:tcPr>
            <w:tcW w:w="1008" w:type="dxa"/>
            <w:tcBorders>
              <w:bottom w:val="single" w:sz="4" w:space="0" w:color="auto"/>
            </w:tcBorders>
            <w:vAlign w:val="bottom"/>
          </w:tcPr>
          <w:p w:rsidR="00450DFF" w:rsidRDefault="00450DFF" w:rsidP="00C1173E">
            <w:pPr>
              <w:tabs>
                <w:tab w:val="decimal" w:pos="403"/>
              </w:tabs>
              <w:spacing w:after="240"/>
              <w:rPr>
                <w:rFonts w:ascii="Calibri" w:hAnsi="Calibri" w:cs="Calibri"/>
                <w:color w:val="000000"/>
              </w:rPr>
            </w:pPr>
            <w:r>
              <w:rPr>
                <w:rFonts w:ascii="Calibri" w:hAnsi="Calibri" w:cs="Calibri"/>
                <w:color w:val="000000"/>
              </w:rPr>
              <w:t>0.023</w:t>
            </w:r>
          </w:p>
        </w:tc>
      </w:tr>
    </w:tbl>
    <w:p w:rsidR="0058642E" w:rsidRDefault="0058642E" w:rsidP="00267A38">
      <w:pPr>
        <w:pStyle w:val="NoSpacing"/>
        <w:spacing w:line="480" w:lineRule="auto"/>
        <w:rPr>
          <w:rFonts w:cstheme="minorHAnsi"/>
        </w:rPr>
      </w:pPr>
    </w:p>
    <w:p w:rsidR="0058642E" w:rsidRDefault="0058642E">
      <w:pPr>
        <w:rPr>
          <w:rFonts w:cstheme="minorHAnsi"/>
        </w:rPr>
      </w:pPr>
      <w:r>
        <w:rPr>
          <w:rFonts w:cstheme="minorHAnsi"/>
        </w:rPr>
        <w:br w:type="page"/>
      </w:r>
    </w:p>
    <w:p w:rsidR="0058642E" w:rsidRPr="008A3862" w:rsidRDefault="0058642E" w:rsidP="0058642E">
      <w:pPr>
        <w:pStyle w:val="NoSpacing"/>
        <w:spacing w:line="480" w:lineRule="auto"/>
        <w:rPr>
          <w:rFonts w:cstheme="minorHAnsi"/>
        </w:rPr>
      </w:pPr>
      <w:r>
        <w:rPr>
          <w:rFonts w:cstheme="minorHAnsi"/>
        </w:rPr>
        <w:lastRenderedPageBreak/>
        <w:t xml:space="preserve">Table </w:t>
      </w:r>
      <w:r w:rsidR="00083AEC">
        <w:rPr>
          <w:rFonts w:cstheme="minorHAnsi"/>
        </w:rPr>
        <w:t>5</w:t>
      </w:r>
      <w:r>
        <w:rPr>
          <w:rFonts w:cstheme="minorHAnsi"/>
        </w:rPr>
        <w:t xml:space="preserve">:  Post- test Scores for </w:t>
      </w:r>
      <w:r w:rsidRPr="00C1173E">
        <w:rPr>
          <w:rFonts w:cstheme="minorHAnsi"/>
          <w:i/>
        </w:rPr>
        <w:t>WaySafe</w:t>
      </w:r>
      <w:r>
        <w:rPr>
          <w:rFonts w:cstheme="minorHAnsi"/>
        </w:rPr>
        <w:t xml:space="preserve"> measures</w:t>
      </w:r>
      <w:r w:rsidR="00FE110B">
        <w:rPr>
          <w:rFonts w:cstheme="minorHAnsi"/>
        </w:rPr>
        <w:t xml:space="preserve"> </w:t>
      </w:r>
      <w:r w:rsidR="00FE110B" w:rsidRPr="008A3862">
        <w:rPr>
          <w:rFonts w:cstheme="minorHAnsi"/>
        </w:rPr>
        <w:t>(with corresponding pretest as covariate)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4"/>
        <w:gridCol w:w="1008"/>
        <w:gridCol w:w="1008"/>
        <w:gridCol w:w="1008"/>
        <w:gridCol w:w="1008"/>
        <w:gridCol w:w="1008"/>
        <w:gridCol w:w="1008"/>
        <w:gridCol w:w="1008"/>
      </w:tblGrid>
      <w:tr w:rsidR="00C1173E" w:rsidTr="00C1173E">
        <w:tc>
          <w:tcPr>
            <w:tcW w:w="2304" w:type="dxa"/>
            <w:tcBorders>
              <w:top w:val="single" w:sz="4" w:space="0" w:color="auto"/>
            </w:tcBorders>
          </w:tcPr>
          <w:p w:rsidR="00C1173E" w:rsidRDefault="00C1173E" w:rsidP="00C1173E">
            <w:pPr>
              <w:pStyle w:val="NoSpacing"/>
              <w:rPr>
                <w:rFonts w:cstheme="minorHAnsi"/>
              </w:rPr>
            </w:pPr>
          </w:p>
        </w:tc>
        <w:tc>
          <w:tcPr>
            <w:tcW w:w="2016" w:type="dxa"/>
            <w:gridSpan w:val="2"/>
            <w:tcBorders>
              <w:top w:val="single" w:sz="4" w:space="0" w:color="auto"/>
            </w:tcBorders>
          </w:tcPr>
          <w:p w:rsidR="00C1173E" w:rsidRDefault="00C1173E" w:rsidP="00C1173E">
            <w:pPr>
              <w:pStyle w:val="NoSpacing"/>
              <w:jc w:val="center"/>
              <w:rPr>
                <w:rFonts w:cstheme="minorHAnsi"/>
              </w:rPr>
            </w:pPr>
            <w:r w:rsidRPr="000251EC">
              <w:rPr>
                <w:rFonts w:cstheme="minorHAnsi"/>
              </w:rPr>
              <w:t>TAU</w:t>
            </w:r>
            <w:r w:rsidR="000251EC" w:rsidRPr="000251EC">
              <w:rPr>
                <w:rFonts w:cstheme="minorHAnsi"/>
              </w:rPr>
              <w:t xml:space="preserve"> (N = 604</w:t>
            </w:r>
            <w:r w:rsidR="000251EC">
              <w:rPr>
                <w:rFonts w:cstheme="minorHAnsi"/>
              </w:rPr>
              <w:t>)</w:t>
            </w:r>
          </w:p>
        </w:tc>
        <w:tc>
          <w:tcPr>
            <w:tcW w:w="2016" w:type="dxa"/>
            <w:gridSpan w:val="2"/>
            <w:tcBorders>
              <w:top w:val="single" w:sz="4" w:space="0" w:color="auto"/>
            </w:tcBorders>
          </w:tcPr>
          <w:p w:rsidR="00C1173E" w:rsidRDefault="00C1173E" w:rsidP="00C1173E">
            <w:pPr>
              <w:pStyle w:val="NoSpacing"/>
              <w:jc w:val="center"/>
              <w:rPr>
                <w:rFonts w:cstheme="minorHAnsi"/>
              </w:rPr>
            </w:pPr>
            <w:r w:rsidRPr="00C1173E">
              <w:rPr>
                <w:rFonts w:cstheme="minorHAnsi"/>
                <w:i/>
              </w:rPr>
              <w:t>WaySafe</w:t>
            </w:r>
            <w:r w:rsidR="000251EC" w:rsidRPr="000251EC">
              <w:rPr>
                <w:rFonts w:cstheme="minorHAnsi"/>
              </w:rPr>
              <w:t xml:space="preserve"> (N = 653)</w:t>
            </w:r>
          </w:p>
        </w:tc>
        <w:tc>
          <w:tcPr>
            <w:tcW w:w="1008" w:type="dxa"/>
            <w:tcBorders>
              <w:top w:val="single" w:sz="4" w:space="0" w:color="auto"/>
            </w:tcBorders>
          </w:tcPr>
          <w:p w:rsidR="00C1173E" w:rsidRDefault="00C1173E" w:rsidP="00C1173E">
            <w:pPr>
              <w:pStyle w:val="NoSpacing"/>
              <w:jc w:val="center"/>
              <w:rPr>
                <w:rFonts w:cstheme="minorHAnsi"/>
              </w:rPr>
            </w:pPr>
          </w:p>
        </w:tc>
        <w:tc>
          <w:tcPr>
            <w:tcW w:w="1008" w:type="dxa"/>
            <w:tcBorders>
              <w:top w:val="single" w:sz="4" w:space="0" w:color="auto"/>
            </w:tcBorders>
          </w:tcPr>
          <w:p w:rsidR="00C1173E" w:rsidRDefault="00C1173E" w:rsidP="00C1173E">
            <w:pPr>
              <w:pStyle w:val="NoSpacing"/>
              <w:jc w:val="center"/>
              <w:rPr>
                <w:rFonts w:cstheme="minorHAnsi"/>
              </w:rPr>
            </w:pPr>
          </w:p>
        </w:tc>
        <w:tc>
          <w:tcPr>
            <w:tcW w:w="1008" w:type="dxa"/>
            <w:tcBorders>
              <w:top w:val="single" w:sz="4" w:space="0" w:color="auto"/>
            </w:tcBorders>
          </w:tcPr>
          <w:p w:rsidR="00C1173E" w:rsidRDefault="000251EC" w:rsidP="00C1173E">
            <w:pPr>
              <w:pStyle w:val="NoSpacing"/>
              <w:jc w:val="center"/>
              <w:rPr>
                <w:rFonts w:cstheme="minorHAnsi"/>
              </w:rPr>
            </w:pPr>
            <w:r>
              <w:rPr>
                <w:rFonts w:cstheme="minorHAnsi"/>
              </w:rPr>
              <w:t>Cohen’s</w:t>
            </w:r>
          </w:p>
        </w:tc>
      </w:tr>
      <w:tr w:rsidR="00CD7EF0" w:rsidTr="00C1173E">
        <w:tc>
          <w:tcPr>
            <w:tcW w:w="2304" w:type="dxa"/>
            <w:tcBorders>
              <w:bottom w:val="single" w:sz="4" w:space="0" w:color="auto"/>
            </w:tcBorders>
          </w:tcPr>
          <w:p w:rsidR="00CD7EF0" w:rsidRDefault="00CD7EF0" w:rsidP="00C1173E">
            <w:pPr>
              <w:pStyle w:val="NoSpacing"/>
              <w:rPr>
                <w:rFonts w:cstheme="minorHAnsi"/>
              </w:rPr>
            </w:pP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M</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s.d.</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M</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s.d.</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t</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prob</w:t>
            </w:r>
          </w:p>
        </w:tc>
        <w:tc>
          <w:tcPr>
            <w:tcW w:w="1008" w:type="dxa"/>
            <w:tcBorders>
              <w:bottom w:val="single" w:sz="4" w:space="0" w:color="auto"/>
            </w:tcBorders>
          </w:tcPr>
          <w:p w:rsidR="00CD7EF0" w:rsidRDefault="00CD7EF0" w:rsidP="00C1173E">
            <w:pPr>
              <w:pStyle w:val="NoSpacing"/>
              <w:jc w:val="center"/>
              <w:rPr>
                <w:rFonts w:cstheme="minorHAnsi"/>
              </w:rPr>
            </w:pPr>
            <w:r>
              <w:rPr>
                <w:rFonts w:cstheme="minorHAnsi"/>
              </w:rPr>
              <w:t>d</w:t>
            </w:r>
          </w:p>
        </w:tc>
      </w:tr>
      <w:tr w:rsidR="00C1173E" w:rsidTr="00C1173E">
        <w:tc>
          <w:tcPr>
            <w:tcW w:w="2304" w:type="dxa"/>
            <w:tcBorders>
              <w:top w:val="single" w:sz="4" w:space="0" w:color="auto"/>
            </w:tcBorders>
          </w:tcPr>
          <w:p w:rsidR="00C1173E" w:rsidRDefault="00C1173E" w:rsidP="00C1173E">
            <w:pPr>
              <w:pStyle w:val="NoSpacing"/>
              <w:spacing w:before="240" w:after="240"/>
              <w:rPr>
                <w:rFonts w:cstheme="minorHAnsi"/>
              </w:rPr>
            </w:pPr>
            <w:r>
              <w:rPr>
                <w:rFonts w:cstheme="minorHAnsi"/>
              </w:rPr>
              <w:t>HIV Knowledge Confidence</w:t>
            </w:r>
          </w:p>
        </w:tc>
        <w:tc>
          <w:tcPr>
            <w:tcW w:w="1008" w:type="dxa"/>
            <w:tcBorders>
              <w:top w:val="single" w:sz="4" w:space="0" w:color="auto"/>
            </w:tcBorders>
            <w:vAlign w:val="bottom"/>
          </w:tcPr>
          <w:p w:rsidR="00C1173E" w:rsidRDefault="00C1173E" w:rsidP="00C1173E">
            <w:pPr>
              <w:tabs>
                <w:tab w:val="decimal" w:pos="403"/>
              </w:tabs>
              <w:spacing w:before="240" w:after="240"/>
              <w:rPr>
                <w:rFonts w:ascii="Calibri" w:hAnsi="Calibri" w:cs="Calibri"/>
                <w:color w:val="000000"/>
              </w:rPr>
            </w:pPr>
            <w:r>
              <w:rPr>
                <w:rFonts w:ascii="Calibri" w:hAnsi="Calibri" w:cs="Calibri"/>
                <w:color w:val="000000"/>
              </w:rPr>
              <w:t>41.8</w:t>
            </w:r>
          </w:p>
        </w:tc>
        <w:tc>
          <w:tcPr>
            <w:tcW w:w="1008" w:type="dxa"/>
            <w:tcBorders>
              <w:top w:val="single" w:sz="4" w:space="0" w:color="auto"/>
            </w:tcBorders>
            <w:vAlign w:val="bottom"/>
          </w:tcPr>
          <w:p w:rsidR="00C1173E" w:rsidRDefault="00C1173E" w:rsidP="00C1173E">
            <w:pPr>
              <w:tabs>
                <w:tab w:val="decimal" w:pos="403"/>
              </w:tabs>
              <w:spacing w:before="240" w:after="240"/>
              <w:rPr>
                <w:rFonts w:ascii="Calibri" w:hAnsi="Calibri" w:cs="Calibri"/>
                <w:color w:val="000000"/>
              </w:rPr>
            </w:pPr>
            <w:r>
              <w:rPr>
                <w:rFonts w:ascii="Calibri" w:hAnsi="Calibri" w:cs="Calibri"/>
                <w:color w:val="000000"/>
              </w:rPr>
              <w:t>6.2</w:t>
            </w:r>
          </w:p>
        </w:tc>
        <w:tc>
          <w:tcPr>
            <w:tcW w:w="1008" w:type="dxa"/>
            <w:tcBorders>
              <w:top w:val="single" w:sz="4" w:space="0" w:color="auto"/>
            </w:tcBorders>
            <w:vAlign w:val="bottom"/>
          </w:tcPr>
          <w:p w:rsidR="00C1173E" w:rsidRDefault="00C1173E" w:rsidP="00C1173E">
            <w:pPr>
              <w:tabs>
                <w:tab w:val="decimal" w:pos="403"/>
              </w:tabs>
              <w:spacing w:before="240" w:after="240"/>
              <w:rPr>
                <w:rFonts w:ascii="Calibri" w:hAnsi="Calibri" w:cs="Calibri"/>
                <w:color w:val="000000"/>
              </w:rPr>
            </w:pPr>
            <w:r>
              <w:rPr>
                <w:rFonts w:ascii="Calibri" w:hAnsi="Calibri" w:cs="Calibri"/>
                <w:color w:val="000000"/>
              </w:rPr>
              <w:t>44.5</w:t>
            </w:r>
          </w:p>
        </w:tc>
        <w:tc>
          <w:tcPr>
            <w:tcW w:w="1008" w:type="dxa"/>
            <w:tcBorders>
              <w:top w:val="single" w:sz="4" w:space="0" w:color="auto"/>
            </w:tcBorders>
            <w:vAlign w:val="bottom"/>
          </w:tcPr>
          <w:p w:rsidR="00C1173E" w:rsidRDefault="00C1173E" w:rsidP="00C1173E">
            <w:pPr>
              <w:tabs>
                <w:tab w:val="decimal" w:pos="403"/>
              </w:tabs>
              <w:spacing w:before="240" w:after="240"/>
              <w:rPr>
                <w:rFonts w:ascii="Calibri" w:hAnsi="Calibri" w:cs="Calibri"/>
                <w:color w:val="000000"/>
              </w:rPr>
            </w:pPr>
            <w:r>
              <w:rPr>
                <w:rFonts w:ascii="Calibri" w:hAnsi="Calibri" w:cs="Calibri"/>
                <w:color w:val="000000"/>
              </w:rPr>
              <w:t>5.1</w:t>
            </w:r>
          </w:p>
        </w:tc>
        <w:tc>
          <w:tcPr>
            <w:tcW w:w="1008" w:type="dxa"/>
            <w:tcBorders>
              <w:top w:val="single" w:sz="4" w:space="0" w:color="auto"/>
            </w:tcBorders>
            <w:vAlign w:val="bottom"/>
          </w:tcPr>
          <w:p w:rsidR="00C1173E" w:rsidRDefault="00C1173E" w:rsidP="00C1173E">
            <w:pPr>
              <w:tabs>
                <w:tab w:val="decimal" w:pos="403"/>
              </w:tabs>
              <w:spacing w:before="240" w:after="240"/>
              <w:rPr>
                <w:rFonts w:ascii="Calibri" w:hAnsi="Calibri" w:cs="Calibri"/>
                <w:color w:val="000000"/>
              </w:rPr>
            </w:pPr>
            <w:r>
              <w:rPr>
                <w:rFonts w:ascii="Calibri" w:hAnsi="Calibri" w:cs="Calibri"/>
                <w:color w:val="000000"/>
              </w:rPr>
              <w:t>-10.59</w:t>
            </w:r>
          </w:p>
        </w:tc>
        <w:tc>
          <w:tcPr>
            <w:tcW w:w="1008" w:type="dxa"/>
            <w:tcBorders>
              <w:top w:val="single" w:sz="4" w:space="0" w:color="auto"/>
            </w:tcBorders>
            <w:vAlign w:val="bottom"/>
          </w:tcPr>
          <w:p w:rsidR="00C1173E" w:rsidRDefault="00C1173E" w:rsidP="00C1173E">
            <w:pPr>
              <w:tabs>
                <w:tab w:val="decimal" w:pos="403"/>
              </w:tabs>
              <w:spacing w:before="240" w:after="240"/>
              <w:rPr>
                <w:rFonts w:ascii="Calibri" w:hAnsi="Calibri" w:cs="Calibri"/>
                <w:color w:val="000000"/>
              </w:rPr>
            </w:pPr>
            <w:r>
              <w:rPr>
                <w:rFonts w:ascii="Calibri" w:hAnsi="Calibri" w:cs="Calibri"/>
                <w:color w:val="000000"/>
              </w:rPr>
              <w:t>&lt;.001</w:t>
            </w:r>
          </w:p>
        </w:tc>
        <w:tc>
          <w:tcPr>
            <w:tcW w:w="1008" w:type="dxa"/>
            <w:tcBorders>
              <w:top w:val="single" w:sz="4" w:space="0" w:color="auto"/>
            </w:tcBorders>
            <w:vAlign w:val="bottom"/>
          </w:tcPr>
          <w:p w:rsidR="00C1173E" w:rsidRDefault="00C1173E" w:rsidP="00C1173E">
            <w:pPr>
              <w:tabs>
                <w:tab w:val="decimal" w:pos="403"/>
              </w:tabs>
              <w:spacing w:before="240" w:after="240"/>
              <w:rPr>
                <w:rFonts w:ascii="Calibri" w:hAnsi="Calibri" w:cs="Calibri"/>
                <w:color w:val="000000"/>
              </w:rPr>
            </w:pPr>
            <w:r>
              <w:rPr>
                <w:rFonts w:ascii="Calibri" w:hAnsi="Calibri" w:cs="Calibri"/>
                <w:color w:val="000000"/>
              </w:rPr>
              <w:t>0.424</w:t>
            </w:r>
          </w:p>
        </w:tc>
      </w:tr>
      <w:tr w:rsidR="00C1173E" w:rsidTr="00C1173E">
        <w:tc>
          <w:tcPr>
            <w:tcW w:w="2304" w:type="dxa"/>
          </w:tcPr>
          <w:p w:rsidR="00C1173E" w:rsidRDefault="00C1173E" w:rsidP="00C1173E">
            <w:pPr>
              <w:pStyle w:val="NoSpacing"/>
              <w:spacing w:after="240"/>
              <w:rPr>
                <w:rFonts w:cstheme="minorHAnsi"/>
              </w:rPr>
            </w:pPr>
            <w:r>
              <w:rPr>
                <w:rFonts w:cstheme="minorHAnsi"/>
              </w:rPr>
              <w:t>Avoiding Risky Sex</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41.1</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6.8</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44.2</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5.1</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-10.67</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&lt;.001</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0.416</w:t>
            </w:r>
          </w:p>
        </w:tc>
      </w:tr>
      <w:tr w:rsidR="00C1173E" w:rsidTr="00C1173E">
        <w:tc>
          <w:tcPr>
            <w:tcW w:w="2304" w:type="dxa"/>
          </w:tcPr>
          <w:p w:rsidR="00C1173E" w:rsidRDefault="00C1173E" w:rsidP="00C1173E">
            <w:pPr>
              <w:pStyle w:val="NoSpacing"/>
              <w:spacing w:after="240"/>
              <w:rPr>
                <w:rFonts w:cstheme="minorHAnsi"/>
              </w:rPr>
            </w:pPr>
            <w:r>
              <w:rPr>
                <w:rFonts w:cstheme="minorHAnsi"/>
              </w:rPr>
              <w:t>Avoiding Risky Drug Use</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44.3</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5.0</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45.7</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4.6</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-5.99</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&lt;.001</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0.270</w:t>
            </w:r>
          </w:p>
        </w:tc>
      </w:tr>
      <w:tr w:rsidR="00C1173E" w:rsidTr="00C1173E">
        <w:tc>
          <w:tcPr>
            <w:tcW w:w="2304" w:type="dxa"/>
          </w:tcPr>
          <w:p w:rsidR="00C1173E" w:rsidRDefault="00C1173E" w:rsidP="00C1173E">
            <w:pPr>
              <w:pStyle w:val="NoSpacing"/>
              <w:spacing w:after="240"/>
              <w:rPr>
                <w:rFonts w:cstheme="minorHAnsi"/>
              </w:rPr>
            </w:pPr>
            <w:r>
              <w:rPr>
                <w:rFonts w:cstheme="minorHAnsi"/>
              </w:rPr>
              <w:t>HIV Services and Testing</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43.7</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5.5</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46.3</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4.5</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-10.36</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&lt;.001</w:t>
            </w:r>
          </w:p>
        </w:tc>
        <w:tc>
          <w:tcPr>
            <w:tcW w:w="1008" w:type="dxa"/>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0.346</w:t>
            </w:r>
          </w:p>
        </w:tc>
      </w:tr>
      <w:tr w:rsidR="00C1173E" w:rsidTr="00C1173E">
        <w:tc>
          <w:tcPr>
            <w:tcW w:w="2304" w:type="dxa"/>
            <w:tcBorders>
              <w:bottom w:val="single" w:sz="4" w:space="0" w:color="auto"/>
            </w:tcBorders>
          </w:tcPr>
          <w:p w:rsidR="00C1173E" w:rsidRDefault="00C1173E" w:rsidP="00C1173E">
            <w:pPr>
              <w:pStyle w:val="NoSpacing"/>
              <w:spacing w:after="240"/>
              <w:rPr>
                <w:rFonts w:cstheme="minorHAnsi"/>
              </w:rPr>
            </w:pPr>
            <w:r>
              <w:rPr>
                <w:rFonts w:cstheme="minorHAnsi"/>
              </w:rPr>
              <w:t>Risk Reduction Skills</w:t>
            </w:r>
          </w:p>
        </w:tc>
        <w:tc>
          <w:tcPr>
            <w:tcW w:w="1008" w:type="dxa"/>
            <w:tcBorders>
              <w:bottom w:val="single" w:sz="4" w:space="0" w:color="auto"/>
            </w:tcBorders>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43.2</w:t>
            </w:r>
          </w:p>
        </w:tc>
        <w:tc>
          <w:tcPr>
            <w:tcW w:w="1008" w:type="dxa"/>
            <w:tcBorders>
              <w:bottom w:val="single" w:sz="4" w:space="0" w:color="auto"/>
            </w:tcBorders>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5.0</w:t>
            </w:r>
          </w:p>
        </w:tc>
        <w:tc>
          <w:tcPr>
            <w:tcW w:w="1008" w:type="dxa"/>
            <w:tcBorders>
              <w:bottom w:val="single" w:sz="4" w:space="0" w:color="auto"/>
            </w:tcBorders>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45.4</w:t>
            </w:r>
          </w:p>
        </w:tc>
        <w:tc>
          <w:tcPr>
            <w:tcW w:w="1008" w:type="dxa"/>
            <w:tcBorders>
              <w:bottom w:val="single" w:sz="4" w:space="0" w:color="auto"/>
            </w:tcBorders>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4.2</w:t>
            </w:r>
          </w:p>
        </w:tc>
        <w:tc>
          <w:tcPr>
            <w:tcW w:w="1008" w:type="dxa"/>
            <w:tcBorders>
              <w:bottom w:val="single" w:sz="4" w:space="0" w:color="auto"/>
            </w:tcBorders>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-9.17</w:t>
            </w:r>
          </w:p>
        </w:tc>
        <w:tc>
          <w:tcPr>
            <w:tcW w:w="1008" w:type="dxa"/>
            <w:tcBorders>
              <w:bottom w:val="single" w:sz="4" w:space="0" w:color="auto"/>
            </w:tcBorders>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&lt;.001</w:t>
            </w:r>
          </w:p>
        </w:tc>
        <w:tc>
          <w:tcPr>
            <w:tcW w:w="1008" w:type="dxa"/>
            <w:tcBorders>
              <w:bottom w:val="single" w:sz="4" w:space="0" w:color="auto"/>
            </w:tcBorders>
            <w:vAlign w:val="bottom"/>
          </w:tcPr>
          <w:p w:rsidR="00C1173E" w:rsidRDefault="00C1173E" w:rsidP="00C1173E">
            <w:pPr>
              <w:tabs>
                <w:tab w:val="decimal" w:pos="403"/>
              </w:tabs>
              <w:spacing w:after="240"/>
              <w:rPr>
                <w:rFonts w:ascii="Calibri" w:hAnsi="Calibri" w:cs="Calibri"/>
                <w:color w:val="000000"/>
              </w:rPr>
            </w:pPr>
            <w:r>
              <w:rPr>
                <w:rFonts w:ascii="Calibri" w:hAnsi="Calibri" w:cs="Calibri"/>
                <w:color w:val="000000"/>
              </w:rPr>
              <w:t>0.381</w:t>
            </w:r>
          </w:p>
        </w:tc>
      </w:tr>
    </w:tbl>
    <w:p w:rsidR="00CD7EF0" w:rsidRDefault="00CD7EF0" w:rsidP="00CD7EF0">
      <w:pPr>
        <w:pStyle w:val="NoSpacing"/>
        <w:spacing w:line="480" w:lineRule="auto"/>
        <w:rPr>
          <w:rFonts w:cstheme="minorHAnsi"/>
        </w:rPr>
      </w:pPr>
    </w:p>
    <w:sectPr w:rsidR="00CD7EF0" w:rsidSect="0016392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56" w:rsidRDefault="00CA4156" w:rsidP="00723575">
      <w:r>
        <w:separator/>
      </w:r>
    </w:p>
  </w:endnote>
  <w:endnote w:type="continuationSeparator" w:id="0">
    <w:p w:rsidR="00CA4156" w:rsidRDefault="00CA4156" w:rsidP="007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5F" w:rsidRDefault="00616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635603"/>
      <w:docPartObj>
        <w:docPartGallery w:val="Page Numbers (Bottom of Page)"/>
        <w:docPartUnique/>
      </w:docPartObj>
    </w:sdtPr>
    <w:sdtEndPr>
      <w:rPr>
        <w:noProof/>
      </w:rPr>
    </w:sdtEndPr>
    <w:sdtContent>
      <w:p w:rsidR="00B307F1" w:rsidRDefault="00487C6B">
        <w:pPr>
          <w:pStyle w:val="Footer"/>
          <w:jc w:val="center"/>
        </w:pPr>
        <w:r>
          <w:fldChar w:fldCharType="begin"/>
        </w:r>
        <w:r>
          <w:instrText xml:space="preserve"> PAGE   \* MERGEFORMAT </w:instrText>
        </w:r>
        <w:r>
          <w:fldChar w:fldCharType="separate"/>
        </w:r>
        <w:r w:rsidR="0061411E">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5F" w:rsidRDefault="0061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56" w:rsidRDefault="00CA4156" w:rsidP="00723575">
      <w:r>
        <w:separator/>
      </w:r>
    </w:p>
  </w:footnote>
  <w:footnote w:type="continuationSeparator" w:id="0">
    <w:p w:rsidR="00CA4156" w:rsidRDefault="00CA4156" w:rsidP="0072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5F" w:rsidRDefault="006165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464714"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textpath style="font-family:&quot;Calibri&quot;;font-size:1pt" string="Not for Citatio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5F" w:rsidRDefault="006165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464715"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textpath style="font-family:&quot;Calibri&quot;;font-size:1pt" string="Not for Citatio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5F" w:rsidRDefault="006165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464713"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textpath style="font-family:&quot;Calibri&quot;;font-size:1pt" string="Not for Cita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115"/>
    <w:multiLevelType w:val="hybridMultilevel"/>
    <w:tmpl w:val="710E83B4"/>
    <w:lvl w:ilvl="0" w:tplc="42CCF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92506"/>
    <w:multiLevelType w:val="hybridMultilevel"/>
    <w:tmpl w:val="EAF44EEA"/>
    <w:lvl w:ilvl="0" w:tplc="85383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802E9"/>
    <w:multiLevelType w:val="hybridMultilevel"/>
    <w:tmpl w:val="A20C11F6"/>
    <w:lvl w:ilvl="0" w:tplc="684A5D2C">
      <w:start w:val="1"/>
      <w:numFmt w:val="bullet"/>
      <w:lvlText w:val=""/>
      <w:lvlJc w:val="left"/>
      <w:pPr>
        <w:tabs>
          <w:tab w:val="num" w:pos="720"/>
        </w:tabs>
        <w:ind w:left="720" w:hanging="360"/>
      </w:pPr>
      <w:rPr>
        <w:rFonts w:ascii="Wingdings" w:hAnsi="Wingdings" w:hint="default"/>
      </w:rPr>
    </w:lvl>
    <w:lvl w:ilvl="1" w:tplc="C4684E40" w:tentative="1">
      <w:start w:val="1"/>
      <w:numFmt w:val="bullet"/>
      <w:lvlText w:val=""/>
      <w:lvlJc w:val="left"/>
      <w:pPr>
        <w:tabs>
          <w:tab w:val="num" w:pos="1440"/>
        </w:tabs>
        <w:ind w:left="1440" w:hanging="360"/>
      </w:pPr>
      <w:rPr>
        <w:rFonts w:ascii="Wingdings" w:hAnsi="Wingdings" w:hint="default"/>
      </w:rPr>
    </w:lvl>
    <w:lvl w:ilvl="2" w:tplc="77D2199E" w:tentative="1">
      <w:start w:val="1"/>
      <w:numFmt w:val="bullet"/>
      <w:lvlText w:val=""/>
      <w:lvlJc w:val="left"/>
      <w:pPr>
        <w:tabs>
          <w:tab w:val="num" w:pos="2160"/>
        </w:tabs>
        <w:ind w:left="2160" w:hanging="360"/>
      </w:pPr>
      <w:rPr>
        <w:rFonts w:ascii="Wingdings" w:hAnsi="Wingdings" w:hint="default"/>
      </w:rPr>
    </w:lvl>
    <w:lvl w:ilvl="3" w:tplc="23F825D6" w:tentative="1">
      <w:start w:val="1"/>
      <w:numFmt w:val="bullet"/>
      <w:lvlText w:val=""/>
      <w:lvlJc w:val="left"/>
      <w:pPr>
        <w:tabs>
          <w:tab w:val="num" w:pos="2880"/>
        </w:tabs>
        <w:ind w:left="2880" w:hanging="360"/>
      </w:pPr>
      <w:rPr>
        <w:rFonts w:ascii="Wingdings" w:hAnsi="Wingdings" w:hint="default"/>
      </w:rPr>
    </w:lvl>
    <w:lvl w:ilvl="4" w:tplc="0CE4C336" w:tentative="1">
      <w:start w:val="1"/>
      <w:numFmt w:val="bullet"/>
      <w:lvlText w:val=""/>
      <w:lvlJc w:val="left"/>
      <w:pPr>
        <w:tabs>
          <w:tab w:val="num" w:pos="3600"/>
        </w:tabs>
        <w:ind w:left="3600" w:hanging="360"/>
      </w:pPr>
      <w:rPr>
        <w:rFonts w:ascii="Wingdings" w:hAnsi="Wingdings" w:hint="default"/>
      </w:rPr>
    </w:lvl>
    <w:lvl w:ilvl="5" w:tplc="81D69388" w:tentative="1">
      <w:start w:val="1"/>
      <w:numFmt w:val="bullet"/>
      <w:lvlText w:val=""/>
      <w:lvlJc w:val="left"/>
      <w:pPr>
        <w:tabs>
          <w:tab w:val="num" w:pos="4320"/>
        </w:tabs>
        <w:ind w:left="4320" w:hanging="360"/>
      </w:pPr>
      <w:rPr>
        <w:rFonts w:ascii="Wingdings" w:hAnsi="Wingdings" w:hint="default"/>
      </w:rPr>
    </w:lvl>
    <w:lvl w:ilvl="6" w:tplc="36DE5788" w:tentative="1">
      <w:start w:val="1"/>
      <w:numFmt w:val="bullet"/>
      <w:lvlText w:val=""/>
      <w:lvlJc w:val="left"/>
      <w:pPr>
        <w:tabs>
          <w:tab w:val="num" w:pos="5040"/>
        </w:tabs>
        <w:ind w:left="5040" w:hanging="360"/>
      </w:pPr>
      <w:rPr>
        <w:rFonts w:ascii="Wingdings" w:hAnsi="Wingdings" w:hint="default"/>
      </w:rPr>
    </w:lvl>
    <w:lvl w:ilvl="7" w:tplc="4EEAE9DA" w:tentative="1">
      <w:start w:val="1"/>
      <w:numFmt w:val="bullet"/>
      <w:lvlText w:val=""/>
      <w:lvlJc w:val="left"/>
      <w:pPr>
        <w:tabs>
          <w:tab w:val="num" w:pos="5760"/>
        </w:tabs>
        <w:ind w:left="5760" w:hanging="360"/>
      </w:pPr>
      <w:rPr>
        <w:rFonts w:ascii="Wingdings" w:hAnsi="Wingdings" w:hint="default"/>
      </w:rPr>
    </w:lvl>
    <w:lvl w:ilvl="8" w:tplc="F30829F8" w:tentative="1">
      <w:start w:val="1"/>
      <w:numFmt w:val="bullet"/>
      <w:lvlText w:val=""/>
      <w:lvlJc w:val="left"/>
      <w:pPr>
        <w:tabs>
          <w:tab w:val="num" w:pos="6480"/>
        </w:tabs>
        <w:ind w:left="6480" w:hanging="360"/>
      </w:pPr>
      <w:rPr>
        <w:rFonts w:ascii="Wingdings" w:hAnsi="Wingdings" w:hint="default"/>
      </w:rPr>
    </w:lvl>
  </w:abstractNum>
  <w:abstractNum w:abstractNumId="3">
    <w:nsid w:val="271D3FAB"/>
    <w:multiLevelType w:val="hybridMultilevel"/>
    <w:tmpl w:val="A300A19A"/>
    <w:lvl w:ilvl="0" w:tplc="4348878E">
      <w:start w:val="1"/>
      <w:numFmt w:val="bullet"/>
      <w:lvlText w:val=""/>
      <w:lvlJc w:val="left"/>
      <w:pPr>
        <w:tabs>
          <w:tab w:val="num" w:pos="720"/>
        </w:tabs>
        <w:ind w:left="720" w:hanging="360"/>
      </w:pPr>
      <w:rPr>
        <w:rFonts w:ascii="Wingdings" w:hAnsi="Wingdings" w:hint="default"/>
      </w:rPr>
    </w:lvl>
    <w:lvl w:ilvl="1" w:tplc="CBB8E7FA" w:tentative="1">
      <w:start w:val="1"/>
      <w:numFmt w:val="bullet"/>
      <w:lvlText w:val=""/>
      <w:lvlJc w:val="left"/>
      <w:pPr>
        <w:tabs>
          <w:tab w:val="num" w:pos="1440"/>
        </w:tabs>
        <w:ind w:left="1440" w:hanging="360"/>
      </w:pPr>
      <w:rPr>
        <w:rFonts w:ascii="Wingdings" w:hAnsi="Wingdings" w:hint="default"/>
      </w:rPr>
    </w:lvl>
    <w:lvl w:ilvl="2" w:tplc="FAB47134" w:tentative="1">
      <w:start w:val="1"/>
      <w:numFmt w:val="bullet"/>
      <w:lvlText w:val=""/>
      <w:lvlJc w:val="left"/>
      <w:pPr>
        <w:tabs>
          <w:tab w:val="num" w:pos="2160"/>
        </w:tabs>
        <w:ind w:left="2160" w:hanging="360"/>
      </w:pPr>
      <w:rPr>
        <w:rFonts w:ascii="Wingdings" w:hAnsi="Wingdings" w:hint="default"/>
      </w:rPr>
    </w:lvl>
    <w:lvl w:ilvl="3" w:tplc="6D2A6466" w:tentative="1">
      <w:start w:val="1"/>
      <w:numFmt w:val="bullet"/>
      <w:lvlText w:val=""/>
      <w:lvlJc w:val="left"/>
      <w:pPr>
        <w:tabs>
          <w:tab w:val="num" w:pos="2880"/>
        </w:tabs>
        <w:ind w:left="2880" w:hanging="360"/>
      </w:pPr>
      <w:rPr>
        <w:rFonts w:ascii="Wingdings" w:hAnsi="Wingdings" w:hint="default"/>
      </w:rPr>
    </w:lvl>
    <w:lvl w:ilvl="4" w:tplc="161457CA" w:tentative="1">
      <w:start w:val="1"/>
      <w:numFmt w:val="bullet"/>
      <w:lvlText w:val=""/>
      <w:lvlJc w:val="left"/>
      <w:pPr>
        <w:tabs>
          <w:tab w:val="num" w:pos="3600"/>
        </w:tabs>
        <w:ind w:left="3600" w:hanging="360"/>
      </w:pPr>
      <w:rPr>
        <w:rFonts w:ascii="Wingdings" w:hAnsi="Wingdings" w:hint="default"/>
      </w:rPr>
    </w:lvl>
    <w:lvl w:ilvl="5" w:tplc="49B2C752" w:tentative="1">
      <w:start w:val="1"/>
      <w:numFmt w:val="bullet"/>
      <w:lvlText w:val=""/>
      <w:lvlJc w:val="left"/>
      <w:pPr>
        <w:tabs>
          <w:tab w:val="num" w:pos="4320"/>
        </w:tabs>
        <w:ind w:left="4320" w:hanging="360"/>
      </w:pPr>
      <w:rPr>
        <w:rFonts w:ascii="Wingdings" w:hAnsi="Wingdings" w:hint="default"/>
      </w:rPr>
    </w:lvl>
    <w:lvl w:ilvl="6" w:tplc="1C843D74" w:tentative="1">
      <w:start w:val="1"/>
      <w:numFmt w:val="bullet"/>
      <w:lvlText w:val=""/>
      <w:lvlJc w:val="left"/>
      <w:pPr>
        <w:tabs>
          <w:tab w:val="num" w:pos="5040"/>
        </w:tabs>
        <w:ind w:left="5040" w:hanging="360"/>
      </w:pPr>
      <w:rPr>
        <w:rFonts w:ascii="Wingdings" w:hAnsi="Wingdings" w:hint="default"/>
      </w:rPr>
    </w:lvl>
    <w:lvl w:ilvl="7" w:tplc="1F66F9A4" w:tentative="1">
      <w:start w:val="1"/>
      <w:numFmt w:val="bullet"/>
      <w:lvlText w:val=""/>
      <w:lvlJc w:val="left"/>
      <w:pPr>
        <w:tabs>
          <w:tab w:val="num" w:pos="5760"/>
        </w:tabs>
        <w:ind w:left="5760" w:hanging="360"/>
      </w:pPr>
      <w:rPr>
        <w:rFonts w:ascii="Wingdings" w:hAnsi="Wingdings" w:hint="default"/>
      </w:rPr>
    </w:lvl>
    <w:lvl w:ilvl="8" w:tplc="BEB835A6" w:tentative="1">
      <w:start w:val="1"/>
      <w:numFmt w:val="bullet"/>
      <w:lvlText w:val=""/>
      <w:lvlJc w:val="left"/>
      <w:pPr>
        <w:tabs>
          <w:tab w:val="num" w:pos="6480"/>
        </w:tabs>
        <w:ind w:left="6480" w:hanging="360"/>
      </w:pPr>
      <w:rPr>
        <w:rFonts w:ascii="Wingdings" w:hAnsi="Wingdings" w:hint="default"/>
      </w:rPr>
    </w:lvl>
  </w:abstractNum>
  <w:abstractNum w:abstractNumId="4">
    <w:nsid w:val="3A3713C6"/>
    <w:multiLevelType w:val="hybridMultilevel"/>
    <w:tmpl w:val="D04C8E28"/>
    <w:lvl w:ilvl="0" w:tplc="B86A6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53AEB"/>
    <w:multiLevelType w:val="hybridMultilevel"/>
    <w:tmpl w:val="68CA99E0"/>
    <w:lvl w:ilvl="0" w:tplc="9AB48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A232C"/>
    <w:multiLevelType w:val="hybridMultilevel"/>
    <w:tmpl w:val="210C34AE"/>
    <w:lvl w:ilvl="0" w:tplc="130C1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279C7"/>
    <w:multiLevelType w:val="hybridMultilevel"/>
    <w:tmpl w:val="196E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lickAndTypeStyle w:val="NoSpac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D2"/>
    <w:rsid w:val="00000FED"/>
    <w:rsid w:val="0000185B"/>
    <w:rsid w:val="0001321D"/>
    <w:rsid w:val="000154A2"/>
    <w:rsid w:val="000205A2"/>
    <w:rsid w:val="000251EC"/>
    <w:rsid w:val="000315C1"/>
    <w:rsid w:val="0004325A"/>
    <w:rsid w:val="00043AFE"/>
    <w:rsid w:val="000469D3"/>
    <w:rsid w:val="000531DB"/>
    <w:rsid w:val="00065004"/>
    <w:rsid w:val="00065F9A"/>
    <w:rsid w:val="00083AEC"/>
    <w:rsid w:val="00093824"/>
    <w:rsid w:val="000A3517"/>
    <w:rsid w:val="000B4C99"/>
    <w:rsid w:val="000C2EEB"/>
    <w:rsid w:val="000C4528"/>
    <w:rsid w:val="000D3AD8"/>
    <w:rsid w:val="000E4CC8"/>
    <w:rsid w:val="00105488"/>
    <w:rsid w:val="00106245"/>
    <w:rsid w:val="001064DA"/>
    <w:rsid w:val="0011024B"/>
    <w:rsid w:val="00111491"/>
    <w:rsid w:val="00132E73"/>
    <w:rsid w:val="001422F4"/>
    <w:rsid w:val="00142E64"/>
    <w:rsid w:val="001432A7"/>
    <w:rsid w:val="00145465"/>
    <w:rsid w:val="00146F33"/>
    <w:rsid w:val="00163921"/>
    <w:rsid w:val="00173D4B"/>
    <w:rsid w:val="00183DEA"/>
    <w:rsid w:val="00187283"/>
    <w:rsid w:val="001D65E7"/>
    <w:rsid w:val="00213633"/>
    <w:rsid w:val="0021624C"/>
    <w:rsid w:val="00222933"/>
    <w:rsid w:val="00222DF7"/>
    <w:rsid w:val="00231F82"/>
    <w:rsid w:val="00235501"/>
    <w:rsid w:val="00237496"/>
    <w:rsid w:val="00242C33"/>
    <w:rsid w:val="00257D92"/>
    <w:rsid w:val="002605B4"/>
    <w:rsid w:val="00263C93"/>
    <w:rsid w:val="00267A38"/>
    <w:rsid w:val="0027413F"/>
    <w:rsid w:val="0029154D"/>
    <w:rsid w:val="00293F27"/>
    <w:rsid w:val="0029481A"/>
    <w:rsid w:val="002A0445"/>
    <w:rsid w:val="002A2C57"/>
    <w:rsid w:val="002A4828"/>
    <w:rsid w:val="002A6941"/>
    <w:rsid w:val="002A6A91"/>
    <w:rsid w:val="002B202B"/>
    <w:rsid w:val="002B2B1B"/>
    <w:rsid w:val="002B6733"/>
    <w:rsid w:val="002B6A18"/>
    <w:rsid w:val="002C438C"/>
    <w:rsid w:val="002C6456"/>
    <w:rsid w:val="002D5366"/>
    <w:rsid w:val="002D5429"/>
    <w:rsid w:val="002D6625"/>
    <w:rsid w:val="002D689B"/>
    <w:rsid w:val="003052D2"/>
    <w:rsid w:val="0030602C"/>
    <w:rsid w:val="00311F8E"/>
    <w:rsid w:val="00314322"/>
    <w:rsid w:val="00320F00"/>
    <w:rsid w:val="00323B93"/>
    <w:rsid w:val="0033379F"/>
    <w:rsid w:val="0034459D"/>
    <w:rsid w:val="0035341D"/>
    <w:rsid w:val="00355D90"/>
    <w:rsid w:val="00364C55"/>
    <w:rsid w:val="003702E5"/>
    <w:rsid w:val="00377D13"/>
    <w:rsid w:val="003807DD"/>
    <w:rsid w:val="00386D7E"/>
    <w:rsid w:val="00397C04"/>
    <w:rsid w:val="00397ECD"/>
    <w:rsid w:val="003B387F"/>
    <w:rsid w:val="003D19A2"/>
    <w:rsid w:val="003E4926"/>
    <w:rsid w:val="003F251C"/>
    <w:rsid w:val="003F6464"/>
    <w:rsid w:val="00400655"/>
    <w:rsid w:val="00406A77"/>
    <w:rsid w:val="00414704"/>
    <w:rsid w:val="00422663"/>
    <w:rsid w:val="00430A29"/>
    <w:rsid w:val="00431A29"/>
    <w:rsid w:val="00436186"/>
    <w:rsid w:val="004432BD"/>
    <w:rsid w:val="00443F58"/>
    <w:rsid w:val="004502DF"/>
    <w:rsid w:val="00450DFF"/>
    <w:rsid w:val="004519D7"/>
    <w:rsid w:val="00456149"/>
    <w:rsid w:val="00465E72"/>
    <w:rsid w:val="00473C9A"/>
    <w:rsid w:val="00474B03"/>
    <w:rsid w:val="00484218"/>
    <w:rsid w:val="00487C6B"/>
    <w:rsid w:val="004A014A"/>
    <w:rsid w:val="004A6C6E"/>
    <w:rsid w:val="004B16CC"/>
    <w:rsid w:val="004B529A"/>
    <w:rsid w:val="004B725F"/>
    <w:rsid w:val="004C6706"/>
    <w:rsid w:val="004E1253"/>
    <w:rsid w:val="004E3EC8"/>
    <w:rsid w:val="004F0319"/>
    <w:rsid w:val="004F239C"/>
    <w:rsid w:val="004F2C5D"/>
    <w:rsid w:val="004F778F"/>
    <w:rsid w:val="00527733"/>
    <w:rsid w:val="00532204"/>
    <w:rsid w:val="0054064D"/>
    <w:rsid w:val="005779F3"/>
    <w:rsid w:val="0058642E"/>
    <w:rsid w:val="0059796D"/>
    <w:rsid w:val="005A1C0F"/>
    <w:rsid w:val="005A7432"/>
    <w:rsid w:val="005D0326"/>
    <w:rsid w:val="005F0893"/>
    <w:rsid w:val="005F355B"/>
    <w:rsid w:val="005F7761"/>
    <w:rsid w:val="0061411E"/>
    <w:rsid w:val="0061655F"/>
    <w:rsid w:val="00625D61"/>
    <w:rsid w:val="00650672"/>
    <w:rsid w:val="0065085F"/>
    <w:rsid w:val="00651D1E"/>
    <w:rsid w:val="0065667E"/>
    <w:rsid w:val="00672468"/>
    <w:rsid w:val="00692D9E"/>
    <w:rsid w:val="006A6CBB"/>
    <w:rsid w:val="006B5601"/>
    <w:rsid w:val="006E2507"/>
    <w:rsid w:val="00704535"/>
    <w:rsid w:val="007104C6"/>
    <w:rsid w:val="007140C1"/>
    <w:rsid w:val="00714F11"/>
    <w:rsid w:val="00723575"/>
    <w:rsid w:val="00725492"/>
    <w:rsid w:val="00730C5A"/>
    <w:rsid w:val="0075277D"/>
    <w:rsid w:val="00753C8C"/>
    <w:rsid w:val="00753DEB"/>
    <w:rsid w:val="00760DFD"/>
    <w:rsid w:val="00771C02"/>
    <w:rsid w:val="007756A4"/>
    <w:rsid w:val="007932EE"/>
    <w:rsid w:val="007A0DF2"/>
    <w:rsid w:val="007A6C6E"/>
    <w:rsid w:val="007B386B"/>
    <w:rsid w:val="007B7363"/>
    <w:rsid w:val="007C17E9"/>
    <w:rsid w:val="007C2021"/>
    <w:rsid w:val="007D02DB"/>
    <w:rsid w:val="007D03B2"/>
    <w:rsid w:val="007D1308"/>
    <w:rsid w:val="007D3E56"/>
    <w:rsid w:val="007D4D88"/>
    <w:rsid w:val="007D4FB3"/>
    <w:rsid w:val="007D63E8"/>
    <w:rsid w:val="007E58F3"/>
    <w:rsid w:val="007E5BE6"/>
    <w:rsid w:val="007F16AC"/>
    <w:rsid w:val="007F4D0D"/>
    <w:rsid w:val="007F502D"/>
    <w:rsid w:val="007F7AF9"/>
    <w:rsid w:val="00802433"/>
    <w:rsid w:val="008059AD"/>
    <w:rsid w:val="00817D80"/>
    <w:rsid w:val="008204A7"/>
    <w:rsid w:val="00834512"/>
    <w:rsid w:val="00835F23"/>
    <w:rsid w:val="00836B15"/>
    <w:rsid w:val="00846171"/>
    <w:rsid w:val="00857F81"/>
    <w:rsid w:val="0087043F"/>
    <w:rsid w:val="008733FD"/>
    <w:rsid w:val="00881E76"/>
    <w:rsid w:val="00895E6D"/>
    <w:rsid w:val="00897CC8"/>
    <w:rsid w:val="008A3862"/>
    <w:rsid w:val="008A471B"/>
    <w:rsid w:val="008C1A72"/>
    <w:rsid w:val="008C3717"/>
    <w:rsid w:val="008C3F43"/>
    <w:rsid w:val="008D25DD"/>
    <w:rsid w:val="008D28F2"/>
    <w:rsid w:val="008D5D32"/>
    <w:rsid w:val="008D7C0D"/>
    <w:rsid w:val="008E04A3"/>
    <w:rsid w:val="008E57D2"/>
    <w:rsid w:val="00922935"/>
    <w:rsid w:val="00934C7A"/>
    <w:rsid w:val="009373D6"/>
    <w:rsid w:val="00955C83"/>
    <w:rsid w:val="00957790"/>
    <w:rsid w:val="0098016A"/>
    <w:rsid w:val="00981878"/>
    <w:rsid w:val="009944D3"/>
    <w:rsid w:val="0099758A"/>
    <w:rsid w:val="009B05F1"/>
    <w:rsid w:val="009B5CEE"/>
    <w:rsid w:val="009C0FD5"/>
    <w:rsid w:val="009D05FD"/>
    <w:rsid w:val="009D08DF"/>
    <w:rsid w:val="009D3FB4"/>
    <w:rsid w:val="009D4AB7"/>
    <w:rsid w:val="009E32D2"/>
    <w:rsid w:val="009E55DC"/>
    <w:rsid w:val="009E7E8F"/>
    <w:rsid w:val="009F0DD3"/>
    <w:rsid w:val="009F42BF"/>
    <w:rsid w:val="00A03CFB"/>
    <w:rsid w:val="00A1050D"/>
    <w:rsid w:val="00A11CB8"/>
    <w:rsid w:val="00A32E95"/>
    <w:rsid w:val="00A43DAC"/>
    <w:rsid w:val="00A50C00"/>
    <w:rsid w:val="00A518FF"/>
    <w:rsid w:val="00A57B8F"/>
    <w:rsid w:val="00A73F78"/>
    <w:rsid w:val="00A965B5"/>
    <w:rsid w:val="00AD47DE"/>
    <w:rsid w:val="00AD507D"/>
    <w:rsid w:val="00AF15AF"/>
    <w:rsid w:val="00B11536"/>
    <w:rsid w:val="00B200C5"/>
    <w:rsid w:val="00B24E18"/>
    <w:rsid w:val="00B3079F"/>
    <w:rsid w:val="00B307F1"/>
    <w:rsid w:val="00B333DC"/>
    <w:rsid w:val="00B36768"/>
    <w:rsid w:val="00B41813"/>
    <w:rsid w:val="00B42136"/>
    <w:rsid w:val="00B518C1"/>
    <w:rsid w:val="00B611E6"/>
    <w:rsid w:val="00B64014"/>
    <w:rsid w:val="00B77098"/>
    <w:rsid w:val="00B81930"/>
    <w:rsid w:val="00B82EA8"/>
    <w:rsid w:val="00B870BD"/>
    <w:rsid w:val="00B97DDF"/>
    <w:rsid w:val="00BA15F8"/>
    <w:rsid w:val="00BB0196"/>
    <w:rsid w:val="00BC6B15"/>
    <w:rsid w:val="00BD1381"/>
    <w:rsid w:val="00BD2E6C"/>
    <w:rsid w:val="00BD7EF2"/>
    <w:rsid w:val="00BE37A9"/>
    <w:rsid w:val="00C03911"/>
    <w:rsid w:val="00C1173E"/>
    <w:rsid w:val="00C23123"/>
    <w:rsid w:val="00C27BD1"/>
    <w:rsid w:val="00C501A9"/>
    <w:rsid w:val="00C51BBA"/>
    <w:rsid w:val="00C55699"/>
    <w:rsid w:val="00C77FE7"/>
    <w:rsid w:val="00C85F91"/>
    <w:rsid w:val="00C87252"/>
    <w:rsid w:val="00C918D9"/>
    <w:rsid w:val="00CA4156"/>
    <w:rsid w:val="00CC4D2C"/>
    <w:rsid w:val="00CC57BD"/>
    <w:rsid w:val="00CD7EF0"/>
    <w:rsid w:val="00CE03B3"/>
    <w:rsid w:val="00CE4D5D"/>
    <w:rsid w:val="00CE6B76"/>
    <w:rsid w:val="00CF1929"/>
    <w:rsid w:val="00D0066F"/>
    <w:rsid w:val="00D10F91"/>
    <w:rsid w:val="00D3243B"/>
    <w:rsid w:val="00D63E13"/>
    <w:rsid w:val="00D73A1D"/>
    <w:rsid w:val="00D81B46"/>
    <w:rsid w:val="00D90591"/>
    <w:rsid w:val="00D93335"/>
    <w:rsid w:val="00D957AD"/>
    <w:rsid w:val="00DA0C8E"/>
    <w:rsid w:val="00DB091E"/>
    <w:rsid w:val="00DB663D"/>
    <w:rsid w:val="00DE58BA"/>
    <w:rsid w:val="00DE75A2"/>
    <w:rsid w:val="00DF055B"/>
    <w:rsid w:val="00DF17CD"/>
    <w:rsid w:val="00E169D2"/>
    <w:rsid w:val="00E35D63"/>
    <w:rsid w:val="00E442FD"/>
    <w:rsid w:val="00E56DB5"/>
    <w:rsid w:val="00E710EE"/>
    <w:rsid w:val="00E8396B"/>
    <w:rsid w:val="00E844AF"/>
    <w:rsid w:val="00E84E4C"/>
    <w:rsid w:val="00E850FF"/>
    <w:rsid w:val="00E874E3"/>
    <w:rsid w:val="00E964C2"/>
    <w:rsid w:val="00EA60FE"/>
    <w:rsid w:val="00EA626F"/>
    <w:rsid w:val="00EA687E"/>
    <w:rsid w:val="00EB1CCA"/>
    <w:rsid w:val="00EB6D6E"/>
    <w:rsid w:val="00EC38FA"/>
    <w:rsid w:val="00EC6C25"/>
    <w:rsid w:val="00ED4E23"/>
    <w:rsid w:val="00EE7F45"/>
    <w:rsid w:val="00EF0209"/>
    <w:rsid w:val="00EF4597"/>
    <w:rsid w:val="00F14AD1"/>
    <w:rsid w:val="00F17329"/>
    <w:rsid w:val="00F2030B"/>
    <w:rsid w:val="00F234F2"/>
    <w:rsid w:val="00F3334D"/>
    <w:rsid w:val="00F427C3"/>
    <w:rsid w:val="00F64934"/>
    <w:rsid w:val="00F70E47"/>
    <w:rsid w:val="00F71D33"/>
    <w:rsid w:val="00F83081"/>
    <w:rsid w:val="00F8738C"/>
    <w:rsid w:val="00FA5534"/>
    <w:rsid w:val="00FB1C32"/>
    <w:rsid w:val="00FB5A51"/>
    <w:rsid w:val="00FC35CB"/>
    <w:rsid w:val="00FE0438"/>
    <w:rsid w:val="00FE110B"/>
    <w:rsid w:val="00FE2D94"/>
    <w:rsid w:val="00FE7C0D"/>
    <w:rsid w:val="00FF1BAB"/>
    <w:rsid w:val="00FF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character" w:styleId="Hyperlink">
    <w:name w:val="Hyperlink"/>
    <w:basedOn w:val="DefaultParagraphFont"/>
    <w:rsid w:val="00111491"/>
    <w:rPr>
      <w:color w:val="0000FF"/>
      <w:u w:val="single"/>
    </w:rPr>
  </w:style>
  <w:style w:type="character" w:styleId="Strong">
    <w:name w:val="Strong"/>
    <w:qFormat/>
    <w:rsid w:val="00723575"/>
    <w:rPr>
      <w:rFonts w:asciiTheme="minorHAnsi" w:hAnsiTheme="minorHAnsi" w:cs="Calibri" w:hint="default"/>
      <w:b/>
      <w:bCs w:val="0"/>
      <w:color w:val="C0504D" w:themeColor="accent2"/>
    </w:rPr>
  </w:style>
  <w:style w:type="paragraph" w:styleId="Header">
    <w:name w:val="header"/>
    <w:basedOn w:val="Normal"/>
    <w:link w:val="HeaderChar"/>
    <w:uiPriority w:val="99"/>
    <w:unhideWhenUsed/>
    <w:rsid w:val="00723575"/>
    <w:pPr>
      <w:tabs>
        <w:tab w:val="center" w:pos="4680"/>
        <w:tab w:val="right" w:pos="9360"/>
      </w:tabs>
    </w:pPr>
  </w:style>
  <w:style w:type="character" w:customStyle="1" w:styleId="HeaderChar">
    <w:name w:val="Header Char"/>
    <w:basedOn w:val="DefaultParagraphFont"/>
    <w:link w:val="Header"/>
    <w:uiPriority w:val="99"/>
    <w:rsid w:val="00723575"/>
  </w:style>
  <w:style w:type="paragraph" w:styleId="Footer">
    <w:name w:val="footer"/>
    <w:basedOn w:val="Normal"/>
    <w:link w:val="FooterChar"/>
    <w:uiPriority w:val="99"/>
    <w:unhideWhenUsed/>
    <w:rsid w:val="00723575"/>
    <w:pPr>
      <w:tabs>
        <w:tab w:val="center" w:pos="4680"/>
        <w:tab w:val="right" w:pos="9360"/>
      </w:tabs>
    </w:pPr>
  </w:style>
  <w:style w:type="character" w:customStyle="1" w:styleId="FooterChar">
    <w:name w:val="Footer Char"/>
    <w:basedOn w:val="DefaultParagraphFont"/>
    <w:link w:val="Footer"/>
    <w:uiPriority w:val="99"/>
    <w:rsid w:val="00723575"/>
  </w:style>
  <w:style w:type="paragraph" w:styleId="BalloonText">
    <w:name w:val="Balloon Text"/>
    <w:basedOn w:val="Normal"/>
    <w:link w:val="BalloonTextChar"/>
    <w:uiPriority w:val="99"/>
    <w:semiHidden/>
    <w:unhideWhenUsed/>
    <w:rsid w:val="00957790"/>
    <w:rPr>
      <w:rFonts w:ascii="Tahoma" w:hAnsi="Tahoma" w:cs="Tahoma"/>
      <w:sz w:val="16"/>
      <w:szCs w:val="16"/>
    </w:rPr>
  </w:style>
  <w:style w:type="character" w:customStyle="1" w:styleId="BalloonTextChar">
    <w:name w:val="Balloon Text Char"/>
    <w:basedOn w:val="DefaultParagraphFont"/>
    <w:link w:val="BalloonText"/>
    <w:uiPriority w:val="99"/>
    <w:semiHidden/>
    <w:rsid w:val="00957790"/>
    <w:rPr>
      <w:rFonts w:ascii="Tahoma" w:hAnsi="Tahoma" w:cs="Tahoma"/>
      <w:sz w:val="16"/>
      <w:szCs w:val="16"/>
    </w:rPr>
  </w:style>
  <w:style w:type="table" w:styleId="TableGrid">
    <w:name w:val="Table Grid"/>
    <w:basedOn w:val="TableNormal"/>
    <w:uiPriority w:val="59"/>
    <w:rsid w:val="0095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878"/>
    <w:rPr>
      <w:color w:val="800080" w:themeColor="followedHyperlink"/>
      <w:u w:val="single"/>
    </w:rPr>
  </w:style>
  <w:style w:type="character" w:styleId="CommentReference">
    <w:name w:val="annotation reference"/>
    <w:basedOn w:val="DefaultParagraphFont"/>
    <w:uiPriority w:val="99"/>
    <w:semiHidden/>
    <w:unhideWhenUsed/>
    <w:rsid w:val="00D93335"/>
    <w:rPr>
      <w:sz w:val="16"/>
      <w:szCs w:val="16"/>
    </w:rPr>
  </w:style>
  <w:style w:type="paragraph" w:styleId="CommentText">
    <w:name w:val="annotation text"/>
    <w:basedOn w:val="Normal"/>
    <w:link w:val="CommentTextChar"/>
    <w:uiPriority w:val="99"/>
    <w:semiHidden/>
    <w:unhideWhenUsed/>
    <w:rsid w:val="00D93335"/>
    <w:rPr>
      <w:sz w:val="20"/>
      <w:szCs w:val="20"/>
    </w:rPr>
  </w:style>
  <w:style w:type="character" w:customStyle="1" w:styleId="CommentTextChar">
    <w:name w:val="Comment Text Char"/>
    <w:basedOn w:val="DefaultParagraphFont"/>
    <w:link w:val="CommentText"/>
    <w:uiPriority w:val="99"/>
    <w:semiHidden/>
    <w:rsid w:val="00D93335"/>
    <w:rPr>
      <w:sz w:val="20"/>
      <w:szCs w:val="20"/>
    </w:rPr>
  </w:style>
  <w:style w:type="paragraph" w:styleId="CommentSubject">
    <w:name w:val="annotation subject"/>
    <w:basedOn w:val="CommentText"/>
    <w:next w:val="CommentText"/>
    <w:link w:val="CommentSubjectChar"/>
    <w:uiPriority w:val="99"/>
    <w:semiHidden/>
    <w:unhideWhenUsed/>
    <w:rsid w:val="00D93335"/>
    <w:rPr>
      <w:b/>
      <w:bCs/>
    </w:rPr>
  </w:style>
  <w:style w:type="character" w:customStyle="1" w:styleId="CommentSubjectChar">
    <w:name w:val="Comment Subject Char"/>
    <w:basedOn w:val="CommentTextChar"/>
    <w:link w:val="CommentSubject"/>
    <w:uiPriority w:val="99"/>
    <w:semiHidden/>
    <w:rsid w:val="00D93335"/>
    <w:rPr>
      <w:b/>
      <w:bCs/>
      <w:sz w:val="20"/>
      <w:szCs w:val="20"/>
    </w:rPr>
  </w:style>
  <w:style w:type="paragraph" w:styleId="Revision">
    <w:name w:val="Revision"/>
    <w:hidden/>
    <w:uiPriority w:val="99"/>
    <w:semiHidden/>
    <w:rsid w:val="00F87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character" w:styleId="Hyperlink">
    <w:name w:val="Hyperlink"/>
    <w:basedOn w:val="DefaultParagraphFont"/>
    <w:rsid w:val="00111491"/>
    <w:rPr>
      <w:color w:val="0000FF"/>
      <w:u w:val="single"/>
    </w:rPr>
  </w:style>
  <w:style w:type="character" w:styleId="Strong">
    <w:name w:val="Strong"/>
    <w:qFormat/>
    <w:rsid w:val="00723575"/>
    <w:rPr>
      <w:rFonts w:asciiTheme="minorHAnsi" w:hAnsiTheme="minorHAnsi" w:cs="Calibri" w:hint="default"/>
      <w:b/>
      <w:bCs w:val="0"/>
      <w:color w:val="C0504D" w:themeColor="accent2"/>
    </w:rPr>
  </w:style>
  <w:style w:type="paragraph" w:styleId="Header">
    <w:name w:val="header"/>
    <w:basedOn w:val="Normal"/>
    <w:link w:val="HeaderChar"/>
    <w:uiPriority w:val="99"/>
    <w:unhideWhenUsed/>
    <w:rsid w:val="00723575"/>
    <w:pPr>
      <w:tabs>
        <w:tab w:val="center" w:pos="4680"/>
        <w:tab w:val="right" w:pos="9360"/>
      </w:tabs>
    </w:pPr>
  </w:style>
  <w:style w:type="character" w:customStyle="1" w:styleId="HeaderChar">
    <w:name w:val="Header Char"/>
    <w:basedOn w:val="DefaultParagraphFont"/>
    <w:link w:val="Header"/>
    <w:uiPriority w:val="99"/>
    <w:rsid w:val="00723575"/>
  </w:style>
  <w:style w:type="paragraph" w:styleId="Footer">
    <w:name w:val="footer"/>
    <w:basedOn w:val="Normal"/>
    <w:link w:val="FooterChar"/>
    <w:uiPriority w:val="99"/>
    <w:unhideWhenUsed/>
    <w:rsid w:val="00723575"/>
    <w:pPr>
      <w:tabs>
        <w:tab w:val="center" w:pos="4680"/>
        <w:tab w:val="right" w:pos="9360"/>
      </w:tabs>
    </w:pPr>
  </w:style>
  <w:style w:type="character" w:customStyle="1" w:styleId="FooterChar">
    <w:name w:val="Footer Char"/>
    <w:basedOn w:val="DefaultParagraphFont"/>
    <w:link w:val="Footer"/>
    <w:uiPriority w:val="99"/>
    <w:rsid w:val="00723575"/>
  </w:style>
  <w:style w:type="paragraph" w:styleId="BalloonText">
    <w:name w:val="Balloon Text"/>
    <w:basedOn w:val="Normal"/>
    <w:link w:val="BalloonTextChar"/>
    <w:uiPriority w:val="99"/>
    <w:semiHidden/>
    <w:unhideWhenUsed/>
    <w:rsid w:val="00957790"/>
    <w:rPr>
      <w:rFonts w:ascii="Tahoma" w:hAnsi="Tahoma" w:cs="Tahoma"/>
      <w:sz w:val="16"/>
      <w:szCs w:val="16"/>
    </w:rPr>
  </w:style>
  <w:style w:type="character" w:customStyle="1" w:styleId="BalloonTextChar">
    <w:name w:val="Balloon Text Char"/>
    <w:basedOn w:val="DefaultParagraphFont"/>
    <w:link w:val="BalloonText"/>
    <w:uiPriority w:val="99"/>
    <w:semiHidden/>
    <w:rsid w:val="00957790"/>
    <w:rPr>
      <w:rFonts w:ascii="Tahoma" w:hAnsi="Tahoma" w:cs="Tahoma"/>
      <w:sz w:val="16"/>
      <w:szCs w:val="16"/>
    </w:rPr>
  </w:style>
  <w:style w:type="table" w:styleId="TableGrid">
    <w:name w:val="Table Grid"/>
    <w:basedOn w:val="TableNormal"/>
    <w:uiPriority w:val="59"/>
    <w:rsid w:val="0095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878"/>
    <w:rPr>
      <w:color w:val="800080" w:themeColor="followedHyperlink"/>
      <w:u w:val="single"/>
    </w:rPr>
  </w:style>
  <w:style w:type="character" w:styleId="CommentReference">
    <w:name w:val="annotation reference"/>
    <w:basedOn w:val="DefaultParagraphFont"/>
    <w:uiPriority w:val="99"/>
    <w:semiHidden/>
    <w:unhideWhenUsed/>
    <w:rsid w:val="00D93335"/>
    <w:rPr>
      <w:sz w:val="16"/>
      <w:szCs w:val="16"/>
    </w:rPr>
  </w:style>
  <w:style w:type="paragraph" w:styleId="CommentText">
    <w:name w:val="annotation text"/>
    <w:basedOn w:val="Normal"/>
    <w:link w:val="CommentTextChar"/>
    <w:uiPriority w:val="99"/>
    <w:semiHidden/>
    <w:unhideWhenUsed/>
    <w:rsid w:val="00D93335"/>
    <w:rPr>
      <w:sz w:val="20"/>
      <w:szCs w:val="20"/>
    </w:rPr>
  </w:style>
  <w:style w:type="character" w:customStyle="1" w:styleId="CommentTextChar">
    <w:name w:val="Comment Text Char"/>
    <w:basedOn w:val="DefaultParagraphFont"/>
    <w:link w:val="CommentText"/>
    <w:uiPriority w:val="99"/>
    <w:semiHidden/>
    <w:rsid w:val="00D93335"/>
    <w:rPr>
      <w:sz w:val="20"/>
      <w:szCs w:val="20"/>
    </w:rPr>
  </w:style>
  <w:style w:type="paragraph" w:styleId="CommentSubject">
    <w:name w:val="annotation subject"/>
    <w:basedOn w:val="CommentText"/>
    <w:next w:val="CommentText"/>
    <w:link w:val="CommentSubjectChar"/>
    <w:uiPriority w:val="99"/>
    <w:semiHidden/>
    <w:unhideWhenUsed/>
    <w:rsid w:val="00D93335"/>
    <w:rPr>
      <w:b/>
      <w:bCs/>
    </w:rPr>
  </w:style>
  <w:style w:type="character" w:customStyle="1" w:styleId="CommentSubjectChar">
    <w:name w:val="Comment Subject Char"/>
    <w:basedOn w:val="CommentTextChar"/>
    <w:link w:val="CommentSubject"/>
    <w:uiPriority w:val="99"/>
    <w:semiHidden/>
    <w:rsid w:val="00D93335"/>
    <w:rPr>
      <w:b/>
      <w:bCs/>
      <w:sz w:val="20"/>
      <w:szCs w:val="20"/>
    </w:rPr>
  </w:style>
  <w:style w:type="paragraph" w:styleId="Revision">
    <w:name w:val="Revision"/>
    <w:hidden/>
    <w:uiPriority w:val="99"/>
    <w:semiHidden/>
    <w:rsid w:val="00F8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8187">
      <w:bodyDiv w:val="1"/>
      <w:marLeft w:val="0"/>
      <w:marRight w:val="0"/>
      <w:marTop w:val="0"/>
      <w:marBottom w:val="0"/>
      <w:divBdr>
        <w:top w:val="none" w:sz="0" w:space="0" w:color="auto"/>
        <w:left w:val="none" w:sz="0" w:space="0" w:color="auto"/>
        <w:bottom w:val="none" w:sz="0" w:space="0" w:color="auto"/>
        <w:right w:val="none" w:sz="0" w:space="0" w:color="auto"/>
      </w:divBdr>
    </w:div>
    <w:div w:id="174267195">
      <w:bodyDiv w:val="1"/>
      <w:marLeft w:val="0"/>
      <w:marRight w:val="0"/>
      <w:marTop w:val="0"/>
      <w:marBottom w:val="0"/>
      <w:divBdr>
        <w:top w:val="none" w:sz="0" w:space="0" w:color="auto"/>
        <w:left w:val="none" w:sz="0" w:space="0" w:color="auto"/>
        <w:bottom w:val="none" w:sz="0" w:space="0" w:color="auto"/>
        <w:right w:val="none" w:sz="0" w:space="0" w:color="auto"/>
      </w:divBdr>
    </w:div>
    <w:div w:id="482160544">
      <w:bodyDiv w:val="1"/>
      <w:marLeft w:val="0"/>
      <w:marRight w:val="0"/>
      <w:marTop w:val="0"/>
      <w:marBottom w:val="0"/>
      <w:divBdr>
        <w:top w:val="none" w:sz="0" w:space="0" w:color="auto"/>
        <w:left w:val="none" w:sz="0" w:space="0" w:color="auto"/>
        <w:bottom w:val="none" w:sz="0" w:space="0" w:color="auto"/>
        <w:right w:val="none" w:sz="0" w:space="0" w:color="auto"/>
      </w:divBdr>
    </w:div>
    <w:div w:id="826943682">
      <w:bodyDiv w:val="1"/>
      <w:marLeft w:val="0"/>
      <w:marRight w:val="0"/>
      <w:marTop w:val="0"/>
      <w:marBottom w:val="0"/>
      <w:divBdr>
        <w:top w:val="none" w:sz="0" w:space="0" w:color="auto"/>
        <w:left w:val="none" w:sz="0" w:space="0" w:color="auto"/>
        <w:bottom w:val="none" w:sz="0" w:space="0" w:color="auto"/>
        <w:right w:val="none" w:sz="0" w:space="0" w:color="auto"/>
      </w:divBdr>
      <w:divsChild>
        <w:div w:id="1193685623">
          <w:marLeft w:val="619"/>
          <w:marRight w:val="0"/>
          <w:marTop w:val="0"/>
          <w:marBottom w:val="240"/>
          <w:divBdr>
            <w:top w:val="none" w:sz="0" w:space="0" w:color="auto"/>
            <w:left w:val="none" w:sz="0" w:space="0" w:color="auto"/>
            <w:bottom w:val="none" w:sz="0" w:space="0" w:color="auto"/>
            <w:right w:val="none" w:sz="0" w:space="0" w:color="auto"/>
          </w:divBdr>
        </w:div>
        <w:div w:id="85461010">
          <w:marLeft w:val="619"/>
          <w:marRight w:val="0"/>
          <w:marTop w:val="0"/>
          <w:marBottom w:val="240"/>
          <w:divBdr>
            <w:top w:val="none" w:sz="0" w:space="0" w:color="auto"/>
            <w:left w:val="none" w:sz="0" w:space="0" w:color="auto"/>
            <w:bottom w:val="none" w:sz="0" w:space="0" w:color="auto"/>
            <w:right w:val="none" w:sz="0" w:space="0" w:color="auto"/>
          </w:divBdr>
        </w:div>
      </w:divsChild>
    </w:div>
    <w:div w:id="1638532314">
      <w:bodyDiv w:val="1"/>
      <w:marLeft w:val="0"/>
      <w:marRight w:val="0"/>
      <w:marTop w:val="0"/>
      <w:marBottom w:val="0"/>
      <w:divBdr>
        <w:top w:val="none" w:sz="0" w:space="0" w:color="auto"/>
        <w:left w:val="none" w:sz="0" w:space="0" w:color="auto"/>
        <w:bottom w:val="none" w:sz="0" w:space="0" w:color="auto"/>
        <w:right w:val="none" w:sz="0" w:space="0" w:color="auto"/>
      </w:divBdr>
      <w:divsChild>
        <w:div w:id="880823306">
          <w:marLeft w:val="562"/>
          <w:marRight w:val="0"/>
          <w:marTop w:val="0"/>
          <w:marBottom w:val="240"/>
          <w:divBdr>
            <w:top w:val="none" w:sz="0" w:space="0" w:color="auto"/>
            <w:left w:val="none" w:sz="0" w:space="0" w:color="auto"/>
            <w:bottom w:val="none" w:sz="0" w:space="0" w:color="auto"/>
            <w:right w:val="none" w:sz="0" w:space="0" w:color="auto"/>
          </w:divBdr>
        </w:div>
        <w:div w:id="920408335">
          <w:marLeft w:val="461"/>
          <w:marRight w:val="0"/>
          <w:marTop w:val="0"/>
          <w:marBottom w:val="240"/>
          <w:divBdr>
            <w:top w:val="none" w:sz="0" w:space="0" w:color="auto"/>
            <w:left w:val="none" w:sz="0" w:space="0" w:color="auto"/>
            <w:bottom w:val="none" w:sz="0" w:space="0" w:color="auto"/>
            <w:right w:val="none" w:sz="0" w:space="0" w:color="auto"/>
          </w:divBdr>
        </w:div>
        <w:div w:id="1360085883">
          <w:marLeft w:val="374"/>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ehman@tcu.edu" TargetMode="External"/><Relationship Id="rId13" Type="http://schemas.openxmlformats.org/officeDocument/2006/relationships/hyperlink" Target="https://www.ncjrs.gov/App/Publications/abstract.aspx?ID=198272"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gov/hiv/risk/other/correctional.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hiv/pdf/statistics_basics_factshee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DC.gov/hepatitis/settings/correction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js.gov/index.cfm?ty=pbdetail&amp;iid=4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6778</Words>
  <Characters>38639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45327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wlehman</dc:creator>
  <cp:lastModifiedBy>Lehman, Wayne</cp:lastModifiedBy>
  <cp:revision>2</cp:revision>
  <dcterms:created xsi:type="dcterms:W3CDTF">2014-11-12T16:48:00Z</dcterms:created>
  <dcterms:modified xsi:type="dcterms:W3CDTF">2014-11-12T16:48:00Z</dcterms:modified>
</cp:coreProperties>
</file>